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226" w:rsidRDefault="00056226" w:rsidP="00056226">
      <w:pPr>
        <w:pStyle w:val="AttorneyName"/>
        <w:rPr>
          <w:rFonts w:ascii="Times New Roman" w:hAnsi="Times New Roman"/>
          <w:sz w:val="24"/>
          <w:szCs w:val="24"/>
        </w:rPr>
      </w:pPr>
    </w:p>
    <w:p w:rsidR="00FA3A07"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Kevin Mahoney (SBN: 235367)</w:t>
      </w:r>
    </w:p>
    <w:p w:rsidR="00056D18" w:rsidRPr="00750FCE" w:rsidRDefault="005D2FC0" w:rsidP="00FA3A07">
      <w:pPr>
        <w:pStyle w:val="AttorneyName"/>
        <w:widowControl w:val="0"/>
        <w:spacing w:line="240" w:lineRule="exact"/>
        <w:rPr>
          <w:rFonts w:ascii="Times New Roman" w:hAnsi="Times New Roman"/>
          <w:sz w:val="24"/>
          <w:szCs w:val="24"/>
        </w:rPr>
      </w:pPr>
      <w:hyperlink r:id="rId8" w:history="1">
        <w:r w:rsidR="00056D18" w:rsidRPr="00750FCE">
          <w:rPr>
            <w:rStyle w:val="Hyperlink"/>
            <w:rFonts w:ascii="Times New Roman" w:hAnsi="Times New Roman"/>
            <w:color w:val="auto"/>
            <w:sz w:val="24"/>
            <w:szCs w:val="24"/>
            <w:u w:val="none"/>
          </w:rPr>
          <w:t>kmahoney@mahoney-law.net</w:t>
        </w:r>
      </w:hyperlink>
      <w:r w:rsidR="00056D18" w:rsidRPr="00750FCE">
        <w:rPr>
          <w:rFonts w:ascii="Times New Roman" w:hAnsi="Times New Roman"/>
          <w:sz w:val="24"/>
          <w:szCs w:val="24"/>
        </w:rPr>
        <w:t xml:space="preserve"> </w:t>
      </w:r>
    </w:p>
    <w:p w:rsidR="00FA3A07" w:rsidRDefault="00FA3A07"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Katherine J. Odenbreit (SBN 184619)</w:t>
      </w:r>
    </w:p>
    <w:p w:rsidR="00CA3A48" w:rsidRPr="00750FCE" w:rsidRDefault="005D2FC0" w:rsidP="00FA3A07">
      <w:pPr>
        <w:pStyle w:val="AttorneyName"/>
        <w:widowControl w:val="0"/>
        <w:spacing w:line="240" w:lineRule="exact"/>
        <w:rPr>
          <w:rStyle w:val="Hyperlink"/>
          <w:rFonts w:ascii="Times New Roman" w:hAnsi="Times New Roman"/>
          <w:color w:val="auto"/>
          <w:sz w:val="24"/>
          <w:szCs w:val="24"/>
          <w:u w:val="none"/>
        </w:rPr>
      </w:pPr>
      <w:hyperlink r:id="rId9" w:history="1">
        <w:r w:rsidR="00056D18" w:rsidRPr="00750FCE">
          <w:rPr>
            <w:rStyle w:val="Hyperlink"/>
            <w:rFonts w:ascii="Times New Roman" w:hAnsi="Times New Roman"/>
            <w:color w:val="auto"/>
            <w:sz w:val="24"/>
            <w:szCs w:val="24"/>
            <w:u w:val="none"/>
          </w:rPr>
          <w:t>kodenbreit@mahoney-law.net</w:t>
        </w:r>
      </w:hyperlink>
    </w:p>
    <w:p w:rsidR="00CA3A48" w:rsidRDefault="00CA3A48" w:rsidP="00CA3A48">
      <w:pPr>
        <w:pStyle w:val="AttorneyName"/>
        <w:spacing w:line="240" w:lineRule="exact"/>
        <w:rPr>
          <w:rFonts w:ascii="Times New Roman" w:hAnsi="Times New Roman"/>
          <w:color w:val="000000" w:themeColor="text1"/>
          <w:sz w:val="24"/>
          <w:szCs w:val="24"/>
        </w:rPr>
      </w:pPr>
      <w:r>
        <w:rPr>
          <w:rFonts w:ascii="Times New Roman" w:hAnsi="Times New Roman"/>
          <w:color w:val="000000" w:themeColor="text1"/>
          <w:sz w:val="24"/>
          <w:szCs w:val="24"/>
        </w:rPr>
        <w:t>Morgan E. Glynn (SBN: 303822)</w:t>
      </w:r>
    </w:p>
    <w:p w:rsidR="00056D18" w:rsidRPr="00750FCE" w:rsidRDefault="005D2FC0" w:rsidP="00CA3A48">
      <w:pPr>
        <w:pStyle w:val="AttorneyName"/>
        <w:spacing w:line="240" w:lineRule="exact"/>
        <w:rPr>
          <w:rFonts w:ascii="Times New Roman" w:hAnsi="Times New Roman"/>
          <w:sz w:val="24"/>
          <w:szCs w:val="24"/>
        </w:rPr>
      </w:pPr>
      <w:hyperlink r:id="rId10" w:history="1">
        <w:r w:rsidR="00CA3A48" w:rsidRPr="00750FCE">
          <w:rPr>
            <w:rStyle w:val="Hyperlink"/>
            <w:rFonts w:ascii="Times New Roman" w:hAnsi="Times New Roman"/>
            <w:color w:val="auto"/>
            <w:sz w:val="24"/>
            <w:szCs w:val="24"/>
            <w:u w:val="none"/>
          </w:rPr>
          <w:t>mglynn@mahoney-law.net</w:t>
        </w:r>
      </w:hyperlink>
      <w:r w:rsidR="00CA3A48" w:rsidRPr="00750FCE">
        <w:rPr>
          <w:rFonts w:ascii="Times New Roman" w:hAnsi="Times New Roman"/>
          <w:sz w:val="24"/>
          <w:szCs w:val="24"/>
        </w:rPr>
        <w:t xml:space="preserve"> </w:t>
      </w:r>
    </w:p>
    <w:p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rsidR="00FA3A07"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Telephone: (562) 590-5550, Facsimile: (562) 590-8400</w:t>
      </w:r>
    </w:p>
    <w:p w:rsidR="00750FCE" w:rsidRDefault="00750FCE" w:rsidP="00FA3A07">
      <w:pPr>
        <w:pStyle w:val="AttorneyName"/>
        <w:widowControl w:val="0"/>
        <w:spacing w:line="240" w:lineRule="exact"/>
        <w:rPr>
          <w:rFonts w:ascii="Times New Roman" w:hAnsi="Times New Roman"/>
          <w:sz w:val="24"/>
          <w:szCs w:val="24"/>
        </w:rPr>
      </w:pP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Steven R. Young (SBN: 96258)</w:t>
      </w: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bestlawyer@aol.com</w:t>
      </w:r>
    </w:p>
    <w:p w:rsidR="00750FCE" w:rsidRDefault="00750FCE" w:rsidP="00FA3A07">
      <w:pPr>
        <w:pStyle w:val="AttorneyName"/>
        <w:widowControl w:val="0"/>
        <w:spacing w:line="240" w:lineRule="exact"/>
        <w:rPr>
          <w:rFonts w:ascii="Times New Roman" w:hAnsi="Times New Roman"/>
          <w:b/>
          <w:sz w:val="24"/>
          <w:szCs w:val="24"/>
        </w:rPr>
      </w:pPr>
      <w:r>
        <w:rPr>
          <w:rFonts w:ascii="Times New Roman" w:hAnsi="Times New Roman"/>
          <w:b/>
          <w:sz w:val="24"/>
          <w:szCs w:val="24"/>
        </w:rPr>
        <w:t>LAW OFFICES OF STEVEN R. YOUNG</w:t>
      </w: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Civil Justice Attorneys</w:t>
      </w:r>
    </w:p>
    <w:p w:rsid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600 Anton Blvd., Suite 650, Costa Mesa,CA 92626</w:t>
      </w:r>
    </w:p>
    <w:p w:rsidR="00750FCE" w:rsidRPr="00750FCE" w:rsidRDefault="00750FCE"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 xml:space="preserve">Telephone: (714)673-6500; Facsimile: (714)545-0355 </w:t>
      </w:r>
    </w:p>
    <w:p w:rsidR="00FA3A07" w:rsidRDefault="00FA3A07" w:rsidP="00FA3A07">
      <w:pPr>
        <w:pStyle w:val="AttorneyName"/>
        <w:widowControl w:val="0"/>
        <w:rPr>
          <w:rFonts w:ascii="Times New Roman" w:hAnsi="Times New Roman"/>
          <w:sz w:val="24"/>
          <w:szCs w:val="24"/>
        </w:rPr>
      </w:pPr>
    </w:p>
    <w:p w:rsidR="00FA3A07" w:rsidRDefault="00FA3A07" w:rsidP="00FA3A07">
      <w:pPr>
        <w:pStyle w:val="AttorneyName"/>
        <w:widowControl w:val="0"/>
        <w:spacing w:line="240" w:lineRule="auto"/>
        <w:rPr>
          <w:rFonts w:ascii="Times New Roman" w:hAnsi="Times New Roman"/>
          <w:i/>
          <w:sz w:val="24"/>
          <w:szCs w:val="24"/>
        </w:rPr>
      </w:pPr>
      <w:r>
        <w:rPr>
          <w:rFonts w:ascii="Times New Roman" w:hAnsi="Times New Roman"/>
          <w:i/>
          <w:sz w:val="24"/>
          <w:szCs w:val="24"/>
        </w:rPr>
        <w:t>Attorneys for Plaintiffs CHRISTOPHER LEVANOFF, ALISON DIAZ, ANDREW GAXIOLA, and JENNA STEED</w:t>
      </w:r>
      <w:r w:rsidRPr="001F04BB">
        <w:rPr>
          <w:rFonts w:ascii="Times New Roman" w:hAnsi="Times New Roman"/>
          <w:bCs/>
          <w:i/>
          <w:sz w:val="24"/>
          <w:szCs w:val="24"/>
        </w:rPr>
        <w:t xml:space="preserve"> </w:t>
      </w:r>
      <w:r w:rsidRPr="001F04BB">
        <w:rPr>
          <w:rFonts w:ascii="Times New Roman" w:hAnsi="Times New Roman"/>
          <w:i/>
          <w:sz w:val="24"/>
          <w:szCs w:val="24"/>
        </w:rPr>
        <w:t>as individuals</w:t>
      </w:r>
      <w:r>
        <w:rPr>
          <w:rFonts w:ascii="Times New Roman" w:hAnsi="Times New Roman"/>
          <w:i/>
          <w:sz w:val="24"/>
          <w:szCs w:val="24"/>
        </w:rPr>
        <w:t xml:space="preserve">, </w:t>
      </w:r>
      <w:r w:rsidRPr="001F04BB">
        <w:rPr>
          <w:rFonts w:ascii="Times New Roman" w:hAnsi="Times New Roman"/>
          <w:i/>
          <w:sz w:val="24"/>
          <w:szCs w:val="24"/>
        </w:rPr>
        <w:t>and on behalf of all employees similarly situated</w:t>
      </w:r>
    </w:p>
    <w:p w:rsidR="00F3155D" w:rsidRDefault="00F3155D">
      <w:pPr>
        <w:pStyle w:val="AttorneyName"/>
        <w:widowControl w:val="0"/>
        <w:spacing w:line="180" w:lineRule="exact"/>
        <w:rPr>
          <w:rFonts w:ascii="Times New Roman" w:hAnsi="Times New Roman"/>
          <w:i/>
          <w:sz w:val="24"/>
          <w:szCs w:val="24"/>
        </w:rPr>
      </w:pPr>
    </w:p>
    <w:p w:rsidR="00AD77A2" w:rsidRDefault="00AD77A2" w:rsidP="00FA3A07">
      <w:pPr>
        <w:pStyle w:val="AttorneyName"/>
        <w:widowControl w:val="0"/>
        <w:spacing w:line="240" w:lineRule="auto"/>
        <w:rPr>
          <w:rFonts w:ascii="Times New Roman" w:hAnsi="Times New Roman"/>
          <w:i/>
          <w:sz w:val="24"/>
          <w:szCs w:val="24"/>
        </w:rPr>
      </w:pPr>
      <w:r>
        <w:rPr>
          <w:rFonts w:ascii="Times New Roman" w:hAnsi="Times New Roman"/>
          <w:i/>
          <w:sz w:val="24"/>
          <w:szCs w:val="24"/>
        </w:rPr>
        <w:t>[Additional counsel listed on the following page.]</w:t>
      </w:r>
    </w:p>
    <w:p w:rsidR="00FC7873" w:rsidRPr="00D77557" w:rsidRDefault="00FC7873" w:rsidP="0026551F">
      <w:pPr>
        <w:pStyle w:val="AttorneyName"/>
        <w:rPr>
          <w:rFonts w:ascii="Times New Roman" w:hAnsi="Times New Roman"/>
          <w:sz w:val="24"/>
          <w:szCs w:val="24"/>
        </w:rPr>
      </w:pPr>
    </w:p>
    <w:p w:rsidR="00FA3A07" w:rsidRPr="001F04BB" w:rsidRDefault="00FA3A07" w:rsidP="00FA3A07">
      <w:pPr>
        <w:pStyle w:val="AttorneyName"/>
        <w:widowControl w:val="0"/>
        <w:jc w:val="center"/>
        <w:rPr>
          <w:rFonts w:ascii="Times New Roman" w:hAnsi="Times New Roman"/>
          <w:b/>
          <w:sz w:val="24"/>
          <w:szCs w:val="24"/>
        </w:rPr>
      </w:pPr>
      <w:r w:rsidRPr="001F04BB">
        <w:rPr>
          <w:rFonts w:ascii="Times New Roman" w:hAnsi="Times New Roman"/>
          <w:b/>
          <w:sz w:val="24"/>
          <w:szCs w:val="24"/>
        </w:rPr>
        <w:t>SUPERIOR COURT OF THE STATE OF CALIFORNIA</w:t>
      </w:r>
    </w:p>
    <w:p w:rsidR="00FA3A07" w:rsidRPr="001F04BB" w:rsidRDefault="00FA3A07" w:rsidP="00FA3A07">
      <w:pPr>
        <w:pStyle w:val="AttorneyName"/>
        <w:widowControl w:val="0"/>
        <w:rPr>
          <w:rFonts w:ascii="Times New Roman" w:hAnsi="Times New Roman"/>
          <w:b/>
          <w:sz w:val="24"/>
          <w:szCs w:val="24"/>
        </w:rPr>
      </w:pPr>
    </w:p>
    <w:p w:rsidR="00FA3A07" w:rsidRDefault="00FA3A07" w:rsidP="00FA3A07">
      <w:pPr>
        <w:pStyle w:val="AttorneyName"/>
        <w:widowControl w:val="0"/>
        <w:jc w:val="center"/>
        <w:rPr>
          <w:rFonts w:ascii="Times New Roman" w:hAnsi="Times New Roman"/>
          <w:b/>
          <w:sz w:val="24"/>
          <w:szCs w:val="24"/>
        </w:rPr>
      </w:pPr>
      <w:r>
        <w:rPr>
          <w:rFonts w:ascii="Times New Roman" w:hAnsi="Times New Roman"/>
          <w:b/>
          <w:sz w:val="24"/>
          <w:szCs w:val="24"/>
        </w:rPr>
        <w:t xml:space="preserve">FOR THE COUNTY OF ORANGE COUNTY </w:t>
      </w:r>
    </w:p>
    <w:p w:rsidR="00FC7873" w:rsidRPr="00D77557" w:rsidRDefault="00FC7873" w:rsidP="00FC7873">
      <w:pPr>
        <w:pStyle w:val="AttorneyName"/>
        <w:jc w:val="center"/>
        <w:outlineLvl w:val="0"/>
        <w:rPr>
          <w:rFonts w:ascii="Times New Roman" w:hAnsi="Times New Roman"/>
          <w:b/>
          <w:sz w:val="24"/>
          <w:szCs w:val="24"/>
        </w:rPr>
      </w:pPr>
    </w:p>
    <w:p w:rsidR="00FC7873" w:rsidRPr="00D77557" w:rsidRDefault="00FC7873" w:rsidP="00FC7873">
      <w:pPr>
        <w:pStyle w:val="AttorneyName"/>
        <w:rPr>
          <w:rFonts w:ascii="Times New Roman" w:hAnsi="Times New Roman"/>
          <w:sz w:val="24"/>
          <w:szCs w:val="24"/>
        </w:rPr>
      </w:pPr>
    </w:p>
    <w:tbl>
      <w:tblPr>
        <w:tblW w:w="9160" w:type="dxa"/>
        <w:tblLayout w:type="fixed"/>
        <w:tblCellMar>
          <w:left w:w="0" w:type="dxa"/>
          <w:right w:w="0" w:type="dxa"/>
        </w:tblCellMar>
        <w:tblLook w:val="0000"/>
      </w:tblPr>
      <w:tblGrid>
        <w:gridCol w:w="4515"/>
        <w:gridCol w:w="165"/>
        <w:gridCol w:w="4480"/>
      </w:tblGrid>
      <w:tr w:rsidR="00FC7873" w:rsidRPr="00D77557" w:rsidTr="00D96F5C">
        <w:trPr>
          <w:trHeight w:val="3474"/>
        </w:trPr>
        <w:tc>
          <w:tcPr>
            <w:tcW w:w="4515" w:type="dxa"/>
            <w:tcBorders>
              <w:bottom w:val="single" w:sz="4" w:space="0" w:color="auto"/>
              <w:right w:val="single" w:sz="4" w:space="0" w:color="auto"/>
            </w:tcBorders>
            <w:shd w:val="clear" w:color="auto" w:fill="auto"/>
          </w:tcPr>
          <w:p w:rsidR="00FA3A07" w:rsidRPr="003F790F" w:rsidRDefault="00FA3A07" w:rsidP="00FA3A07">
            <w:pPr>
              <w:pStyle w:val="AttorneyName"/>
              <w:widowControl w:val="0"/>
              <w:spacing w:line="240" w:lineRule="auto"/>
              <w:rPr>
                <w:rFonts w:ascii="Times New Roman" w:hAnsi="Times New Roman"/>
                <w:bCs/>
                <w:sz w:val="24"/>
                <w:szCs w:val="24"/>
              </w:rPr>
            </w:pPr>
            <w:r w:rsidRPr="003F790F">
              <w:rPr>
                <w:rFonts w:ascii="Times New Roman" w:hAnsi="Times New Roman"/>
                <w:sz w:val="24"/>
                <w:szCs w:val="24"/>
              </w:rPr>
              <w:t>CHRISTOPHER LEVANOFF, ALISON DIAZ, ANDREW GAXIOLA, JENNA STEED</w:t>
            </w:r>
            <w:r w:rsidR="008B5CD5">
              <w:rPr>
                <w:rFonts w:ascii="Times New Roman" w:hAnsi="Times New Roman"/>
                <w:sz w:val="24"/>
                <w:szCs w:val="24"/>
              </w:rPr>
              <w:t>, and R</w:t>
            </w:r>
            <w:r>
              <w:rPr>
                <w:rFonts w:ascii="Times New Roman" w:hAnsi="Times New Roman"/>
                <w:sz w:val="24"/>
                <w:szCs w:val="24"/>
              </w:rPr>
              <w:t>OES 1-25, inclusive as individuals, and on behalf of all similarly situated employees</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Plaintiffs,</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t>v.</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37984" w:rsidRDefault="00FA3A07" w:rsidP="00FA3A07">
            <w:pPr>
              <w:widowControl w:val="0"/>
              <w:spacing w:line="240" w:lineRule="auto"/>
              <w:rPr>
                <w:rFonts w:ascii="Times New Roman" w:hAnsi="Times New Roman"/>
                <w:color w:val="000000"/>
                <w:sz w:val="24"/>
                <w:szCs w:val="24"/>
              </w:rPr>
            </w:pPr>
            <w:r w:rsidRPr="00137984">
              <w:rPr>
                <w:rFonts w:ascii="Times New Roman" w:hAnsi="Times New Roman"/>
                <w:color w:val="000000"/>
                <w:sz w:val="24"/>
                <w:szCs w:val="24"/>
              </w:rPr>
              <w:t>SOC</w:t>
            </w:r>
            <w:r>
              <w:rPr>
                <w:rFonts w:ascii="Times New Roman" w:hAnsi="Times New Roman"/>
                <w:color w:val="000000"/>
                <w:sz w:val="24"/>
                <w:szCs w:val="24"/>
              </w:rPr>
              <w:t xml:space="preserve">AL WINGS LLC; </w:t>
            </w:r>
            <w:r w:rsidRPr="00137984">
              <w:rPr>
                <w:rFonts w:ascii="Times New Roman" w:hAnsi="Times New Roman"/>
                <w:color w:val="000000"/>
                <w:sz w:val="24"/>
                <w:szCs w:val="24"/>
              </w:rPr>
              <w:t xml:space="preserve">MATTHEW </w:t>
            </w:r>
            <w:r>
              <w:rPr>
                <w:rFonts w:ascii="Times New Roman" w:hAnsi="Times New Roman"/>
                <w:color w:val="000000"/>
                <w:sz w:val="24"/>
                <w:szCs w:val="24"/>
              </w:rPr>
              <w:t xml:space="preserve">  </w:t>
            </w:r>
            <w:r w:rsidRPr="00137984">
              <w:rPr>
                <w:rFonts w:ascii="Times New Roman" w:hAnsi="Times New Roman"/>
                <w:color w:val="000000"/>
                <w:sz w:val="24"/>
                <w:szCs w:val="24"/>
              </w:rPr>
              <w:t>DRAGAS;</w:t>
            </w:r>
            <w:r>
              <w:rPr>
                <w:rFonts w:ascii="Times New Roman" w:hAnsi="Times New Roman"/>
                <w:color w:val="000000"/>
                <w:sz w:val="24"/>
                <w:szCs w:val="24"/>
              </w:rPr>
              <w:t xml:space="preserve"> (DOE 1) SC WINGS BUENA PARK, LLC; (DOE 2 ) SC WINGS ALISO VIEJO, LLC;</w:t>
            </w:r>
            <w:r w:rsidRPr="00137984">
              <w:rPr>
                <w:rFonts w:ascii="Times New Roman" w:hAnsi="Times New Roman"/>
                <w:color w:val="000000"/>
                <w:sz w:val="24"/>
                <w:szCs w:val="24"/>
              </w:rPr>
              <w:t xml:space="preserve"> </w:t>
            </w:r>
            <w:r>
              <w:rPr>
                <w:rFonts w:ascii="Times New Roman" w:hAnsi="Times New Roman"/>
                <w:color w:val="000000"/>
                <w:sz w:val="24"/>
                <w:szCs w:val="24"/>
              </w:rPr>
              <w:t>(DOE 3) SC MISSION VIEJO, LLC; SC WINGS BLOCK, LLC (DOE 4) DRAGAS HOMES dba THE DRAGAS GROUP, and DOES 6</w:t>
            </w:r>
            <w:r w:rsidRPr="00137984">
              <w:rPr>
                <w:rFonts w:ascii="Times New Roman" w:hAnsi="Times New Roman"/>
                <w:color w:val="000000"/>
                <w:sz w:val="24"/>
                <w:szCs w:val="24"/>
              </w:rPr>
              <w:t xml:space="preserve"> through 50, inclusive</w:t>
            </w:r>
          </w:p>
          <w:p w:rsidR="00FA3A07" w:rsidRPr="001F04BB" w:rsidRDefault="00FA3A07" w:rsidP="00FA3A07">
            <w:pPr>
              <w:widowControl w:val="0"/>
              <w:spacing w:line="240" w:lineRule="auto"/>
              <w:rPr>
                <w:rFonts w:ascii="Times New Roman" w:hAnsi="Times New Roman"/>
                <w:sz w:val="24"/>
                <w:szCs w:val="24"/>
              </w:rPr>
            </w:pPr>
          </w:p>
          <w:p w:rsidR="00FA3A07" w:rsidRPr="001F04BB" w:rsidRDefault="00FA3A07" w:rsidP="00FA3A07">
            <w:pPr>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Defendants.</w:t>
            </w:r>
          </w:p>
          <w:p w:rsidR="00FC7873" w:rsidRPr="00D77557" w:rsidRDefault="00FC7873" w:rsidP="0098124E">
            <w:pPr>
              <w:tabs>
                <w:tab w:val="left" w:pos="1500"/>
              </w:tabs>
              <w:spacing w:line="453" w:lineRule="exact"/>
              <w:rPr>
                <w:rFonts w:ascii="Times New Roman" w:hAnsi="Times New Roman"/>
                <w:sz w:val="24"/>
                <w:szCs w:val="24"/>
              </w:rPr>
            </w:pPr>
          </w:p>
        </w:tc>
        <w:tc>
          <w:tcPr>
            <w:tcW w:w="165" w:type="dxa"/>
            <w:tcBorders>
              <w:left w:val="single" w:sz="4" w:space="0" w:color="auto"/>
            </w:tcBorders>
            <w:shd w:val="clear" w:color="auto" w:fill="auto"/>
          </w:tcPr>
          <w:p w:rsidR="00FC7873" w:rsidRPr="00D77557" w:rsidRDefault="00FC7873" w:rsidP="0098124E">
            <w:pPr>
              <w:pStyle w:val="SingleSpacing"/>
              <w:rPr>
                <w:rFonts w:ascii="Times New Roman" w:hAnsi="Times New Roman"/>
                <w:sz w:val="24"/>
                <w:szCs w:val="24"/>
              </w:rPr>
            </w:pPr>
          </w:p>
        </w:tc>
        <w:tc>
          <w:tcPr>
            <w:tcW w:w="4480" w:type="dxa"/>
            <w:shd w:val="clear" w:color="auto" w:fill="auto"/>
          </w:tcPr>
          <w:p w:rsidR="001348E8" w:rsidRDefault="00841CDC" w:rsidP="00FF4E23">
            <w:pPr>
              <w:pStyle w:val="Caption"/>
              <w:tabs>
                <w:tab w:val="left" w:pos="1332"/>
              </w:tabs>
              <w:spacing w:line="240" w:lineRule="auto"/>
              <w:ind w:right="115"/>
              <w:rPr>
                <w:szCs w:val="24"/>
              </w:rPr>
            </w:pPr>
            <w:r>
              <w:rPr>
                <w:szCs w:val="24"/>
              </w:rPr>
              <w:t xml:space="preserve">Case No.: </w:t>
            </w:r>
            <w:r w:rsidR="00FA3A07">
              <w:rPr>
                <w:szCs w:val="24"/>
              </w:rPr>
              <w:t>30-2011-00511808-CU-OE-CXC</w:t>
            </w:r>
          </w:p>
          <w:p w:rsidR="00910770" w:rsidRDefault="00910770" w:rsidP="0098124E">
            <w:pPr>
              <w:pStyle w:val="SingleSpacing"/>
              <w:rPr>
                <w:rFonts w:ascii="Times New Roman" w:hAnsi="Times New Roman"/>
                <w:b/>
                <w:sz w:val="24"/>
                <w:szCs w:val="24"/>
              </w:rPr>
            </w:pPr>
          </w:p>
          <w:p w:rsidR="00DC387D" w:rsidRDefault="00750FCE" w:rsidP="0098124E">
            <w:pPr>
              <w:pStyle w:val="SingleSpacing"/>
              <w:rPr>
                <w:rFonts w:ascii="Times New Roman" w:hAnsi="Times New Roman"/>
                <w:b/>
                <w:sz w:val="24"/>
                <w:szCs w:val="24"/>
              </w:rPr>
            </w:pPr>
            <w:r>
              <w:rPr>
                <w:rFonts w:ascii="Times New Roman" w:hAnsi="Times New Roman"/>
                <w:b/>
                <w:sz w:val="24"/>
                <w:szCs w:val="24"/>
              </w:rPr>
              <w:t>PLAINTIFFS’ OPPOSITION TO DEFENDANTS’ MOTION TO DISQUALIFY MAHONEY LAW GROUP, APC, AND ALL OF ITS ATTORNEYS</w:t>
            </w:r>
            <w:r w:rsidR="000C0A66">
              <w:rPr>
                <w:rFonts w:ascii="Times New Roman" w:hAnsi="Times New Roman"/>
                <w:b/>
                <w:sz w:val="24"/>
                <w:szCs w:val="24"/>
              </w:rPr>
              <w:t>; MEMORANDUM OF POINTS AND AUTHORITIES; DECLARATION OF KATHERINE J. ODENBREIT</w:t>
            </w:r>
          </w:p>
          <w:p w:rsidR="000C0A66" w:rsidRDefault="000C0A66" w:rsidP="0098124E">
            <w:pPr>
              <w:pStyle w:val="SingleSpacing"/>
              <w:rPr>
                <w:rFonts w:ascii="Times New Roman" w:hAnsi="Times New Roman"/>
                <w:b/>
                <w:sz w:val="24"/>
                <w:szCs w:val="24"/>
              </w:rPr>
            </w:pPr>
          </w:p>
          <w:p w:rsidR="000C0A66" w:rsidRPr="000C0A66" w:rsidRDefault="000C0A66" w:rsidP="0098124E">
            <w:pPr>
              <w:pStyle w:val="SingleSpacing"/>
              <w:rPr>
                <w:rFonts w:ascii="Times New Roman" w:hAnsi="Times New Roman"/>
                <w:b/>
                <w:sz w:val="20"/>
              </w:rPr>
            </w:pPr>
            <w:r>
              <w:rPr>
                <w:rFonts w:ascii="Times New Roman" w:hAnsi="Times New Roman"/>
                <w:b/>
                <w:sz w:val="20"/>
              </w:rPr>
              <w:t>[DECLARATIONS OF NICHOLAS BEGG, MARIE DUGGAN, JONATHAN CHAVEZ, ALYSA SHUNSTROM, ANNEMARIE CONROY, AND DEVIN GALVAN FILED CONCURRENTLY HEREWITH]</w:t>
            </w:r>
          </w:p>
          <w:p w:rsidR="00D96F5C" w:rsidRDefault="00D96F5C" w:rsidP="0098124E">
            <w:pPr>
              <w:pStyle w:val="SingleSpacing"/>
              <w:rPr>
                <w:rFonts w:ascii="Times New Roman" w:hAnsi="Times New Roman"/>
                <w:b/>
                <w:sz w:val="24"/>
                <w:szCs w:val="24"/>
              </w:rPr>
            </w:pPr>
          </w:p>
          <w:p w:rsidR="00FF4E23" w:rsidRPr="00FF4E23" w:rsidRDefault="00FF4E23" w:rsidP="0098124E">
            <w:pPr>
              <w:pStyle w:val="SingleSpacing"/>
              <w:rPr>
                <w:rFonts w:ascii="Times New Roman" w:hAnsi="Times New Roman"/>
                <w:sz w:val="24"/>
                <w:szCs w:val="24"/>
              </w:rPr>
            </w:pPr>
            <w:r w:rsidRPr="00FF4E23">
              <w:rPr>
                <w:rFonts w:ascii="Times New Roman" w:hAnsi="Times New Roman"/>
                <w:sz w:val="24"/>
                <w:szCs w:val="24"/>
              </w:rPr>
              <w:t xml:space="preserve">Judge: </w:t>
            </w:r>
            <w:r>
              <w:rPr>
                <w:rFonts w:ascii="Times New Roman" w:hAnsi="Times New Roman"/>
                <w:sz w:val="24"/>
                <w:szCs w:val="24"/>
              </w:rPr>
              <w:tab/>
            </w:r>
            <w:r>
              <w:rPr>
                <w:rFonts w:ascii="Times New Roman" w:hAnsi="Times New Roman"/>
                <w:sz w:val="24"/>
                <w:szCs w:val="24"/>
              </w:rPr>
              <w:tab/>
            </w:r>
            <w:r w:rsidR="00841CDC">
              <w:rPr>
                <w:rFonts w:ascii="Times New Roman" w:hAnsi="Times New Roman"/>
                <w:sz w:val="24"/>
                <w:szCs w:val="24"/>
              </w:rPr>
              <w:tab/>
            </w:r>
            <w:r w:rsidRPr="00FF4E23">
              <w:rPr>
                <w:rFonts w:ascii="Times New Roman" w:hAnsi="Times New Roman"/>
                <w:sz w:val="24"/>
                <w:szCs w:val="24"/>
              </w:rPr>
              <w:t>Hon. Gail A. Andler</w:t>
            </w:r>
          </w:p>
          <w:p w:rsidR="001C714F" w:rsidRDefault="00FF4E23" w:rsidP="0098124E">
            <w:pPr>
              <w:pStyle w:val="SingleSpacing"/>
              <w:rPr>
                <w:rFonts w:ascii="Times New Roman" w:hAnsi="Times New Roman"/>
                <w:sz w:val="24"/>
                <w:szCs w:val="24"/>
              </w:rPr>
            </w:pPr>
            <w:r>
              <w:rPr>
                <w:rFonts w:ascii="Times New Roman" w:hAnsi="Times New Roman"/>
                <w:sz w:val="24"/>
                <w:szCs w:val="24"/>
              </w:rPr>
              <w:t xml:space="preserve">Hearing Date: </w:t>
            </w:r>
            <w:r w:rsidR="00841CDC">
              <w:rPr>
                <w:rFonts w:ascii="Times New Roman" w:hAnsi="Times New Roman"/>
                <w:sz w:val="24"/>
                <w:szCs w:val="24"/>
              </w:rPr>
              <w:tab/>
            </w:r>
            <w:r w:rsidR="00841CDC">
              <w:rPr>
                <w:rFonts w:ascii="Times New Roman" w:hAnsi="Times New Roman"/>
                <w:sz w:val="24"/>
                <w:szCs w:val="24"/>
              </w:rPr>
              <w:tab/>
            </w:r>
            <w:r w:rsidR="00CA3A48">
              <w:rPr>
                <w:rFonts w:ascii="Times New Roman" w:hAnsi="Times New Roman"/>
                <w:sz w:val="24"/>
                <w:szCs w:val="24"/>
              </w:rPr>
              <w:t>August 8</w:t>
            </w:r>
            <w:r w:rsidR="001C714F">
              <w:rPr>
                <w:rFonts w:ascii="Times New Roman" w:hAnsi="Times New Roman"/>
                <w:sz w:val="24"/>
                <w:szCs w:val="24"/>
              </w:rPr>
              <w:t>, 2016</w:t>
            </w:r>
          </w:p>
          <w:p w:rsidR="00285C1B" w:rsidRDefault="00FE38A3" w:rsidP="0098124E">
            <w:pPr>
              <w:pStyle w:val="SingleSpacing"/>
              <w:rPr>
                <w:rFonts w:ascii="Times New Roman" w:hAnsi="Times New Roman"/>
                <w:sz w:val="24"/>
                <w:szCs w:val="24"/>
              </w:rPr>
            </w:pPr>
            <w:r w:rsidRPr="0065098D">
              <w:rPr>
                <w:rFonts w:ascii="Times New Roman" w:hAnsi="Times New Roman"/>
                <w:sz w:val="24"/>
                <w:szCs w:val="24"/>
              </w:rPr>
              <w:t xml:space="preserve">Time:  </w:t>
            </w:r>
            <w:r w:rsidR="00285C1B">
              <w:rPr>
                <w:rFonts w:ascii="Times New Roman" w:hAnsi="Times New Roman"/>
                <w:sz w:val="24"/>
                <w:szCs w:val="24"/>
              </w:rPr>
              <w:t xml:space="preserve">             </w:t>
            </w:r>
            <w:r w:rsidR="00841CDC">
              <w:rPr>
                <w:rFonts w:ascii="Times New Roman" w:hAnsi="Times New Roman"/>
                <w:sz w:val="24"/>
                <w:szCs w:val="24"/>
              </w:rPr>
              <w:tab/>
            </w:r>
            <w:r w:rsidR="001C714F">
              <w:rPr>
                <w:rFonts w:ascii="Times New Roman" w:hAnsi="Times New Roman"/>
                <w:sz w:val="24"/>
                <w:szCs w:val="24"/>
              </w:rPr>
              <w:t>1:30 p.m.</w:t>
            </w:r>
          </w:p>
          <w:p w:rsidR="00FE38A3" w:rsidRDefault="00285C1B" w:rsidP="0098124E">
            <w:pPr>
              <w:pStyle w:val="SingleSpacing"/>
              <w:rPr>
                <w:rFonts w:ascii="Times New Roman" w:hAnsi="Times New Roman"/>
                <w:sz w:val="24"/>
                <w:szCs w:val="24"/>
              </w:rPr>
            </w:pPr>
            <w:r>
              <w:rPr>
                <w:rFonts w:ascii="Times New Roman" w:hAnsi="Times New Roman"/>
                <w:sz w:val="24"/>
                <w:szCs w:val="24"/>
              </w:rPr>
              <w:t xml:space="preserve">Dept.:              </w:t>
            </w:r>
            <w:r w:rsidR="00841CDC">
              <w:rPr>
                <w:rFonts w:ascii="Times New Roman" w:hAnsi="Times New Roman"/>
                <w:sz w:val="24"/>
                <w:szCs w:val="24"/>
              </w:rPr>
              <w:tab/>
            </w:r>
            <w:r w:rsidR="00841CDC">
              <w:rPr>
                <w:rFonts w:ascii="Times New Roman" w:hAnsi="Times New Roman"/>
                <w:sz w:val="24"/>
                <w:szCs w:val="24"/>
              </w:rPr>
              <w:tab/>
            </w:r>
            <w:r>
              <w:rPr>
                <w:rFonts w:ascii="Times New Roman" w:hAnsi="Times New Roman"/>
                <w:sz w:val="24"/>
                <w:szCs w:val="24"/>
              </w:rPr>
              <w:t>CX101</w:t>
            </w:r>
            <w:r w:rsidR="00FE38A3">
              <w:rPr>
                <w:rFonts w:ascii="Times New Roman" w:hAnsi="Times New Roman"/>
                <w:sz w:val="24"/>
                <w:szCs w:val="24"/>
              </w:rPr>
              <w:t xml:space="preserve"> </w:t>
            </w:r>
          </w:p>
          <w:p w:rsidR="00FE38A3" w:rsidRDefault="00A27FA1" w:rsidP="0098124E">
            <w:pPr>
              <w:pStyle w:val="SingleSpacing"/>
              <w:rPr>
                <w:rFonts w:ascii="Times New Roman" w:hAnsi="Times New Roman"/>
                <w:b/>
                <w:sz w:val="24"/>
                <w:szCs w:val="24"/>
              </w:rPr>
            </w:pPr>
            <w:r>
              <w:rPr>
                <w:rFonts w:ascii="Times New Roman" w:hAnsi="Times New Roman"/>
                <w:sz w:val="24"/>
                <w:szCs w:val="24"/>
              </w:rPr>
              <w:t xml:space="preserve">  </w:t>
            </w:r>
          </w:p>
          <w:p w:rsidR="00FC7873" w:rsidRPr="00D77557" w:rsidRDefault="00FC7873" w:rsidP="0098124E">
            <w:pPr>
              <w:pStyle w:val="SingleSpacing"/>
              <w:rPr>
                <w:rFonts w:ascii="Times New Roman" w:hAnsi="Times New Roman"/>
                <w:sz w:val="24"/>
                <w:szCs w:val="24"/>
              </w:rPr>
            </w:pPr>
            <w:r>
              <w:rPr>
                <w:rFonts w:ascii="Times New Roman" w:hAnsi="Times New Roman"/>
                <w:sz w:val="24"/>
                <w:szCs w:val="24"/>
              </w:rPr>
              <w:t xml:space="preserve">Complaint Filed: </w:t>
            </w:r>
            <w:r w:rsidR="00FA3A07">
              <w:rPr>
                <w:rFonts w:ascii="Times New Roman" w:hAnsi="Times New Roman"/>
                <w:sz w:val="24"/>
                <w:szCs w:val="24"/>
              </w:rPr>
              <w:t>September 28, 2011</w:t>
            </w:r>
          </w:p>
          <w:p w:rsidR="00FC7873" w:rsidRDefault="007B7B69" w:rsidP="0098124E">
            <w:pPr>
              <w:pStyle w:val="SingleSpacing"/>
              <w:rPr>
                <w:rFonts w:ascii="Times New Roman" w:hAnsi="Times New Roman"/>
                <w:sz w:val="24"/>
                <w:szCs w:val="24"/>
              </w:rPr>
            </w:pPr>
            <w:r>
              <w:rPr>
                <w:rFonts w:ascii="Times New Roman" w:hAnsi="Times New Roman"/>
                <w:sz w:val="24"/>
                <w:szCs w:val="24"/>
              </w:rPr>
              <w:t>Trial Date:  None set</w:t>
            </w:r>
          </w:p>
          <w:p w:rsidR="00FC7873" w:rsidRPr="009B5ACE" w:rsidRDefault="00FC7873" w:rsidP="006E4CF4">
            <w:pPr>
              <w:pStyle w:val="SingleSpacing"/>
              <w:rPr>
                <w:rFonts w:ascii="Times New Roman" w:hAnsi="Times New Roman"/>
                <w:sz w:val="24"/>
                <w:szCs w:val="24"/>
              </w:rPr>
            </w:pPr>
          </w:p>
        </w:tc>
      </w:tr>
    </w:tbl>
    <w:p w:rsidR="00ED1C53" w:rsidRDefault="00ED1C53" w:rsidP="009A1324">
      <w:pPr>
        <w:widowControl w:val="0"/>
        <w:jc w:val="center"/>
        <w:rPr>
          <w:rFonts w:ascii="Times New Roman" w:hAnsi="Times New Roman"/>
          <w:b/>
          <w:sz w:val="24"/>
          <w:szCs w:val="24"/>
          <w:u w:val="single"/>
        </w:rPr>
        <w:sectPr w:rsidR="00ED1C53" w:rsidSect="00CA3A48">
          <w:headerReference w:type="default" r:id="rId11"/>
          <w:footerReference w:type="default" r:id="rId12"/>
          <w:pgSz w:w="12240" w:h="15840" w:code="1"/>
          <w:pgMar w:top="1440" w:right="1530" w:bottom="1440" w:left="1440" w:header="720" w:footer="454" w:gutter="0"/>
          <w:pgNumType w:fmt="lowerRoman" w:start="1"/>
          <w:cols w:space="720"/>
          <w:docGrid w:linePitch="272"/>
        </w:sectPr>
      </w:pP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lastRenderedPageBreak/>
        <w:t xml:space="preserve">Amelia </w:t>
      </w:r>
      <w:r w:rsidR="002F702D">
        <w:rPr>
          <w:rFonts w:ascii="Times New Roman" w:hAnsi="Times New Roman"/>
          <w:sz w:val="24"/>
          <w:szCs w:val="24"/>
        </w:rPr>
        <w:t>Steelhead</w:t>
      </w:r>
      <w:r w:rsidRPr="003F790F">
        <w:rPr>
          <w:rFonts w:ascii="Times New Roman" w:hAnsi="Times New Roman"/>
          <w:sz w:val="24"/>
          <w:szCs w:val="24"/>
        </w:rPr>
        <w:t xml:space="preserve">, Esq. (SBN: </w:t>
      </w:r>
      <w:r w:rsidR="002F702D">
        <w:rPr>
          <w:rFonts w:ascii="Times New Roman" w:hAnsi="Times New Roman"/>
          <w:sz w:val="24"/>
          <w:szCs w:val="24"/>
        </w:rPr>
        <w:t>299006</w:t>
      </w:r>
      <w:r w:rsidRPr="003F790F">
        <w:rPr>
          <w:rFonts w:ascii="Times New Roman" w:hAnsi="Times New Roman"/>
          <w:sz w:val="24"/>
          <w:szCs w:val="24"/>
        </w:rPr>
        <w:t>)</w:t>
      </w:r>
    </w:p>
    <w:p w:rsidR="00750FCE" w:rsidRPr="003F790F" w:rsidRDefault="00750FCE" w:rsidP="00750FCE">
      <w:pPr>
        <w:spacing w:line="240" w:lineRule="exact"/>
        <w:rPr>
          <w:rFonts w:ascii="Times New Roman" w:hAnsi="Times New Roman"/>
          <w:sz w:val="24"/>
          <w:szCs w:val="24"/>
        </w:rPr>
      </w:pPr>
      <w:r w:rsidRPr="003F790F">
        <w:rPr>
          <w:rFonts w:ascii="Times New Roman" w:hAnsi="Times New Roman"/>
          <w:b/>
          <w:bCs/>
          <w:sz w:val="24"/>
          <w:szCs w:val="24"/>
        </w:rPr>
        <w:t>ROSE, KLEIN &amp; MARIAS LLP</w:t>
      </w: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t xml:space="preserve">801 S. Grand Avenue., </w:t>
      </w:r>
      <w:r w:rsidRPr="003F790F">
        <w:rPr>
          <w:rFonts w:ascii="Times New Roman" w:hAnsi="Times New Roman"/>
          <w:sz w:val="24"/>
          <w:szCs w:val="24"/>
        </w:rPr>
        <w:t>Eleventh Floor</w:t>
      </w:r>
    </w:p>
    <w:p w:rsidR="00750FCE" w:rsidRPr="003F790F" w:rsidRDefault="00750FCE" w:rsidP="00750FCE">
      <w:pPr>
        <w:spacing w:line="240" w:lineRule="exact"/>
        <w:rPr>
          <w:rFonts w:ascii="Times New Roman" w:hAnsi="Times New Roman"/>
          <w:sz w:val="24"/>
          <w:szCs w:val="24"/>
        </w:rPr>
      </w:pPr>
      <w:r w:rsidRPr="003F790F">
        <w:rPr>
          <w:rFonts w:ascii="Times New Roman" w:hAnsi="Times New Roman"/>
          <w:sz w:val="24"/>
          <w:szCs w:val="24"/>
        </w:rPr>
        <w:t>Los Angeles, California  90017-4645</w:t>
      </w: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t xml:space="preserve">Telephone: </w:t>
      </w:r>
      <w:r w:rsidRPr="003F790F">
        <w:rPr>
          <w:rFonts w:ascii="Times New Roman" w:hAnsi="Times New Roman"/>
          <w:sz w:val="24"/>
          <w:szCs w:val="24"/>
        </w:rPr>
        <w:t>(213) 626-0571</w:t>
      </w:r>
    </w:p>
    <w:p w:rsidR="00750FCE" w:rsidRPr="003F790F" w:rsidRDefault="00750FCE" w:rsidP="00750FCE">
      <w:pPr>
        <w:spacing w:line="240" w:lineRule="exact"/>
        <w:rPr>
          <w:rFonts w:ascii="Times New Roman" w:hAnsi="Times New Roman"/>
          <w:sz w:val="24"/>
          <w:szCs w:val="24"/>
        </w:rPr>
      </w:pPr>
      <w:r>
        <w:rPr>
          <w:rFonts w:ascii="Times New Roman" w:hAnsi="Times New Roman"/>
          <w:sz w:val="24"/>
          <w:szCs w:val="24"/>
        </w:rPr>
        <w:t xml:space="preserve">Facsimile: </w:t>
      </w:r>
      <w:r w:rsidRPr="003F790F">
        <w:rPr>
          <w:rFonts w:ascii="Times New Roman" w:hAnsi="Times New Roman"/>
          <w:sz w:val="24"/>
          <w:szCs w:val="24"/>
        </w:rPr>
        <w:t xml:space="preserve">(213) 623-7755 </w:t>
      </w:r>
    </w:p>
    <w:p w:rsidR="00E23DBB" w:rsidRDefault="00E23DBB">
      <w:pPr>
        <w:spacing w:line="240" w:lineRule="auto"/>
        <w:rPr>
          <w:rFonts w:ascii="Times New Roman" w:hAnsi="Times New Roman"/>
          <w:sz w:val="24"/>
          <w:szCs w:val="24"/>
        </w:rPr>
      </w:pPr>
      <w:r>
        <w:rPr>
          <w:rFonts w:ascii="Times New Roman" w:hAnsi="Times New Roman"/>
          <w:sz w:val="24"/>
          <w:szCs w:val="24"/>
        </w:rPr>
        <w:br w:type="page"/>
      </w:r>
    </w:p>
    <w:p w:rsidR="007B690E" w:rsidRDefault="003866F9" w:rsidP="003866F9">
      <w:pPr>
        <w:widowControl w:val="0"/>
        <w:jc w:val="center"/>
        <w:rPr>
          <w:rFonts w:ascii="Times New Roman" w:hAnsi="Times New Roman"/>
          <w:sz w:val="24"/>
          <w:szCs w:val="24"/>
        </w:rPr>
      </w:pPr>
      <w:r>
        <w:rPr>
          <w:rFonts w:ascii="Times New Roman" w:hAnsi="Times New Roman"/>
          <w:b/>
          <w:sz w:val="24"/>
          <w:szCs w:val="24"/>
          <w:u w:val="single"/>
        </w:rPr>
        <w:lastRenderedPageBreak/>
        <w:t>MEMORANDUM OF POINTS AND AUTHORITIES</w:t>
      </w:r>
    </w:p>
    <w:p w:rsidR="003866F9" w:rsidRPr="003866F9" w:rsidRDefault="003866F9" w:rsidP="003866F9">
      <w:pPr>
        <w:pStyle w:val="ListParagraph"/>
        <w:widowControl w:val="0"/>
        <w:numPr>
          <w:ilvl w:val="0"/>
          <w:numId w:val="9"/>
        </w:numPr>
        <w:rPr>
          <w:rFonts w:ascii="Times New Roman" w:hAnsi="Times New Roman"/>
          <w:b/>
          <w:sz w:val="24"/>
          <w:szCs w:val="24"/>
        </w:rPr>
      </w:pPr>
      <w:r>
        <w:rPr>
          <w:rFonts w:ascii="Times New Roman" w:hAnsi="Times New Roman"/>
          <w:b/>
          <w:sz w:val="24"/>
          <w:szCs w:val="24"/>
        </w:rPr>
        <w:t>INTRODUCTION</w:t>
      </w:r>
    </w:p>
    <w:p w:rsidR="001A3823" w:rsidRDefault="003866F9" w:rsidP="003866F9">
      <w:pPr>
        <w:widowControl w:val="0"/>
        <w:ind w:firstLine="360"/>
        <w:rPr>
          <w:rFonts w:ascii="Times New Roman" w:hAnsi="Times New Roman"/>
          <w:sz w:val="24"/>
          <w:szCs w:val="24"/>
        </w:rPr>
      </w:pPr>
      <w:r>
        <w:rPr>
          <w:rFonts w:ascii="Times New Roman" w:hAnsi="Times New Roman"/>
          <w:sz w:val="24"/>
          <w:szCs w:val="24"/>
        </w:rPr>
        <w:t xml:space="preserve">“The dignity, decorum and courtesy that have traditionally characterized the courts and legal profession of civilized nations are not empty </w:t>
      </w:r>
      <w:r w:rsidR="0048005A">
        <w:rPr>
          <w:rFonts w:ascii="Times New Roman" w:hAnsi="Times New Roman"/>
          <w:sz w:val="24"/>
          <w:szCs w:val="24"/>
        </w:rPr>
        <w:t>formalities</w:t>
      </w:r>
      <w:r>
        <w:rPr>
          <w:rFonts w:ascii="Times New Roman" w:hAnsi="Times New Roman"/>
          <w:sz w:val="24"/>
          <w:szCs w:val="24"/>
        </w:rPr>
        <w:t xml:space="preserve">.  They are essential to an atmosphere that promotes justice and to an attorney’s responsibility for the fair and impartial administration of justice.”  </w:t>
      </w:r>
      <w:r>
        <w:rPr>
          <w:rFonts w:ascii="Times New Roman" w:hAnsi="Times New Roman"/>
          <w:sz w:val="24"/>
          <w:szCs w:val="24"/>
          <w:u w:val="single"/>
        </w:rPr>
        <w:t>Orange County Superior Court Local Rules</w:t>
      </w:r>
      <w:r>
        <w:rPr>
          <w:rFonts w:ascii="Times New Roman" w:hAnsi="Times New Roman"/>
          <w:sz w:val="24"/>
          <w:szCs w:val="24"/>
        </w:rPr>
        <w:t xml:space="preserve"> (July 1, 2016), Appendix I: California Attorney Guidelines of Civility and Professionalism, Section 1.</w:t>
      </w:r>
      <w:r w:rsidR="00266F76">
        <w:rPr>
          <w:rStyle w:val="FootnoteReference"/>
          <w:rFonts w:ascii="Times New Roman" w:hAnsi="Times New Roman"/>
          <w:sz w:val="24"/>
          <w:szCs w:val="24"/>
        </w:rPr>
        <w:footnoteReference w:id="1"/>
      </w:r>
      <w:r>
        <w:rPr>
          <w:rFonts w:ascii="Times New Roman" w:hAnsi="Times New Roman"/>
          <w:sz w:val="24"/>
          <w:szCs w:val="24"/>
        </w:rPr>
        <w:t xml:space="preserve">  Despite numerous requests from the Court that the attorneys in this case tone down the rhetoric of accusations of unethical conduct</w:t>
      </w:r>
      <w:r w:rsidR="001A3823">
        <w:rPr>
          <w:rStyle w:val="FootnoteReference"/>
          <w:rFonts w:ascii="Times New Roman" w:hAnsi="Times New Roman"/>
          <w:sz w:val="24"/>
          <w:szCs w:val="24"/>
        </w:rPr>
        <w:footnoteReference w:id="2"/>
      </w:r>
      <w:r w:rsidR="001A3823">
        <w:rPr>
          <w:rFonts w:ascii="Times New Roman" w:hAnsi="Times New Roman"/>
          <w:sz w:val="24"/>
          <w:szCs w:val="24"/>
        </w:rPr>
        <w:t xml:space="preserve"> Defendants persist in bringing this untimely </w:t>
      </w:r>
      <w:r w:rsidR="008B2CB9">
        <w:rPr>
          <w:rFonts w:ascii="Times New Roman" w:hAnsi="Times New Roman"/>
          <w:sz w:val="24"/>
          <w:szCs w:val="24"/>
        </w:rPr>
        <w:t xml:space="preserve">Motion to Disqualify (“MTD”) </w:t>
      </w:r>
      <w:r w:rsidR="001A3823">
        <w:rPr>
          <w:rFonts w:ascii="Times New Roman" w:hAnsi="Times New Roman"/>
          <w:sz w:val="24"/>
          <w:szCs w:val="24"/>
        </w:rPr>
        <w:t>at the 11</w:t>
      </w:r>
      <w:r w:rsidR="001A3823" w:rsidRPr="001A3823">
        <w:rPr>
          <w:rFonts w:ascii="Times New Roman" w:hAnsi="Times New Roman"/>
          <w:sz w:val="24"/>
          <w:szCs w:val="24"/>
          <w:vertAlign w:val="superscript"/>
        </w:rPr>
        <w:t>th</w:t>
      </w:r>
      <w:r w:rsidR="001A3823">
        <w:rPr>
          <w:rFonts w:ascii="Times New Roman" w:hAnsi="Times New Roman"/>
          <w:sz w:val="24"/>
          <w:szCs w:val="24"/>
        </w:rPr>
        <w:t xml:space="preserve"> hour before trial which consists entirely of arguments made previously and rejected by this Court.</w:t>
      </w:r>
      <w:r>
        <w:rPr>
          <w:rFonts w:ascii="Times New Roman" w:hAnsi="Times New Roman"/>
          <w:sz w:val="24"/>
          <w:szCs w:val="24"/>
        </w:rPr>
        <w:t xml:space="preserve"> </w:t>
      </w:r>
      <w:r w:rsidR="001A3823">
        <w:rPr>
          <w:rFonts w:ascii="Times New Roman" w:hAnsi="Times New Roman"/>
          <w:sz w:val="24"/>
          <w:szCs w:val="24"/>
        </w:rPr>
        <w:t xml:space="preserve"> These actions certainly are not in furtherance of promoting civility.   </w:t>
      </w:r>
      <w:r w:rsidR="007B3F45">
        <w:rPr>
          <w:rFonts w:ascii="Times New Roman" w:hAnsi="Times New Roman"/>
          <w:sz w:val="24"/>
          <w:szCs w:val="24"/>
        </w:rPr>
        <w:t xml:space="preserve">Clearly by this motion and other actions, Defendants continued attacks on Class Counsel are being used as a tactical maneuver to delay the commencement of trial in this matter.  </w:t>
      </w:r>
      <w:r w:rsidR="0070038D">
        <w:rPr>
          <w:rFonts w:ascii="Times New Roman" w:hAnsi="Times New Roman"/>
          <w:sz w:val="24"/>
          <w:szCs w:val="24"/>
        </w:rPr>
        <w:t>Further evidence of this is the fact the conduct about which Defendants complain is not alleged to be occurring in a matter currently pending before this Court, but in 813</w:t>
      </w:r>
      <w:r w:rsidR="0070038D">
        <w:rPr>
          <w:rStyle w:val="FootnoteReference"/>
          <w:rFonts w:ascii="Times New Roman" w:hAnsi="Times New Roman"/>
          <w:sz w:val="24"/>
          <w:szCs w:val="24"/>
        </w:rPr>
        <w:footnoteReference w:id="3"/>
      </w:r>
      <w:r w:rsidR="0070038D">
        <w:rPr>
          <w:rFonts w:ascii="Times New Roman" w:hAnsi="Times New Roman"/>
          <w:sz w:val="24"/>
          <w:szCs w:val="24"/>
        </w:rPr>
        <w:t xml:space="preserve"> arbitration matters </w:t>
      </w:r>
      <w:r w:rsidR="00DC675C">
        <w:rPr>
          <w:rFonts w:ascii="Times New Roman" w:hAnsi="Times New Roman"/>
          <w:sz w:val="24"/>
          <w:szCs w:val="24"/>
        </w:rPr>
        <w:t xml:space="preserve">currently </w:t>
      </w:r>
      <w:r w:rsidR="0070038D">
        <w:rPr>
          <w:rFonts w:ascii="Times New Roman" w:hAnsi="Times New Roman"/>
          <w:sz w:val="24"/>
          <w:szCs w:val="24"/>
        </w:rPr>
        <w:t xml:space="preserve">pending with ADR Services, Inc.  In fact, the Court has already determined these issues should be addressed </w:t>
      </w:r>
      <w:r w:rsidR="00DC675C">
        <w:rPr>
          <w:rFonts w:ascii="Times New Roman" w:hAnsi="Times New Roman"/>
          <w:sz w:val="24"/>
          <w:szCs w:val="24"/>
        </w:rPr>
        <w:t>by the arbitrator as it only has limited jurisdiction at this point in time.</w:t>
      </w:r>
      <w:r w:rsidR="00DC675C">
        <w:rPr>
          <w:rStyle w:val="FootnoteReference"/>
          <w:rFonts w:ascii="Times New Roman" w:hAnsi="Times New Roman"/>
          <w:sz w:val="24"/>
          <w:szCs w:val="24"/>
        </w:rPr>
        <w:footnoteReference w:id="4"/>
      </w:r>
    </w:p>
    <w:p w:rsidR="009762BD" w:rsidRPr="009762BD" w:rsidRDefault="00DC675C" w:rsidP="00DC675C">
      <w:pPr>
        <w:widowControl w:val="0"/>
        <w:ind w:firstLine="360"/>
        <w:rPr>
          <w:rFonts w:ascii="Times New Roman" w:hAnsi="Times New Roman"/>
          <w:sz w:val="24"/>
          <w:szCs w:val="24"/>
        </w:rPr>
      </w:pPr>
      <w:r>
        <w:rPr>
          <w:rFonts w:ascii="Times New Roman" w:hAnsi="Times New Roman"/>
          <w:sz w:val="24"/>
          <w:szCs w:val="24"/>
        </w:rPr>
        <w:t>Defendants’</w:t>
      </w:r>
      <w:r w:rsidR="009762BD">
        <w:rPr>
          <w:rFonts w:ascii="Times New Roman" w:hAnsi="Times New Roman"/>
          <w:sz w:val="24"/>
          <w:szCs w:val="24"/>
        </w:rPr>
        <w:t xml:space="preserve"> argument center</w:t>
      </w:r>
      <w:r>
        <w:rPr>
          <w:rFonts w:ascii="Times New Roman" w:hAnsi="Times New Roman"/>
          <w:sz w:val="24"/>
          <w:szCs w:val="24"/>
        </w:rPr>
        <w:t>s</w:t>
      </w:r>
      <w:r w:rsidR="009762BD">
        <w:rPr>
          <w:rFonts w:ascii="Times New Roman" w:hAnsi="Times New Roman"/>
          <w:sz w:val="24"/>
          <w:szCs w:val="24"/>
        </w:rPr>
        <w:t xml:space="preserve"> around Defendants’ reliance on Alison Harding</w:t>
      </w:r>
      <w:r>
        <w:rPr>
          <w:rFonts w:ascii="Times New Roman" w:hAnsi="Times New Roman"/>
          <w:sz w:val="24"/>
          <w:szCs w:val="24"/>
        </w:rPr>
        <w:t xml:space="preserve">, a certified class member whose </w:t>
      </w:r>
      <w:r w:rsidR="009762BD">
        <w:rPr>
          <w:rFonts w:ascii="Times New Roman" w:hAnsi="Times New Roman"/>
          <w:sz w:val="24"/>
          <w:szCs w:val="24"/>
        </w:rPr>
        <w:t xml:space="preserve"> claims</w:t>
      </w:r>
      <w:r>
        <w:rPr>
          <w:rFonts w:ascii="Times New Roman" w:hAnsi="Times New Roman"/>
          <w:sz w:val="24"/>
          <w:szCs w:val="24"/>
        </w:rPr>
        <w:t xml:space="preserve"> were subject to the Court’s order compelling arbitration.  Defendants have admittedly known about Ms. Harding since March 2016</w:t>
      </w:r>
      <w:r w:rsidR="003078FE">
        <w:rPr>
          <w:rFonts w:ascii="Times New Roman" w:hAnsi="Times New Roman"/>
          <w:sz w:val="24"/>
          <w:szCs w:val="24"/>
        </w:rPr>
        <w:t xml:space="preserve"> since that is when Defendant Matthew Dragas allegedly came into possession of Class Counsel’s communication with Ms. Harding</w:t>
      </w:r>
      <w:r>
        <w:rPr>
          <w:rFonts w:ascii="Times New Roman" w:hAnsi="Times New Roman"/>
          <w:sz w:val="24"/>
          <w:szCs w:val="24"/>
        </w:rPr>
        <w:t>.</w:t>
      </w:r>
      <w:r w:rsidR="003078FE">
        <w:rPr>
          <w:rStyle w:val="FootnoteReference"/>
          <w:rFonts w:ascii="Times New Roman" w:hAnsi="Times New Roman"/>
          <w:sz w:val="24"/>
          <w:szCs w:val="24"/>
        </w:rPr>
        <w:footnoteReference w:id="5"/>
      </w:r>
      <w:r w:rsidR="009762BD">
        <w:rPr>
          <w:rFonts w:ascii="Times New Roman" w:hAnsi="Times New Roman"/>
          <w:sz w:val="24"/>
          <w:szCs w:val="24"/>
        </w:rPr>
        <w:t xml:space="preserve"> </w:t>
      </w:r>
      <w:r>
        <w:rPr>
          <w:rFonts w:ascii="Times New Roman" w:hAnsi="Times New Roman"/>
          <w:sz w:val="24"/>
          <w:szCs w:val="24"/>
        </w:rPr>
        <w:t xml:space="preserve"> </w:t>
      </w:r>
      <w:r w:rsidR="00BB0495">
        <w:rPr>
          <w:rFonts w:ascii="Times New Roman" w:hAnsi="Times New Roman"/>
          <w:sz w:val="24"/>
          <w:szCs w:val="24"/>
        </w:rPr>
        <w:t xml:space="preserve">Ms. Harding claims she was aware of MLG’s actions taken to preserve her </w:t>
      </w:r>
      <w:r w:rsidR="00BB0495">
        <w:rPr>
          <w:rFonts w:ascii="Times New Roman" w:hAnsi="Times New Roman"/>
          <w:sz w:val="24"/>
          <w:szCs w:val="24"/>
        </w:rPr>
        <w:lastRenderedPageBreak/>
        <w:t>claims since January 2016.</w:t>
      </w:r>
      <w:r w:rsidR="00BB0495">
        <w:rPr>
          <w:rStyle w:val="FootnoteReference"/>
          <w:rFonts w:ascii="Times New Roman" w:hAnsi="Times New Roman"/>
          <w:sz w:val="24"/>
          <w:szCs w:val="24"/>
        </w:rPr>
        <w:footnoteReference w:id="6"/>
      </w:r>
      <w:r w:rsidR="00BB0495">
        <w:rPr>
          <w:rFonts w:ascii="Times New Roman" w:hAnsi="Times New Roman"/>
          <w:sz w:val="24"/>
          <w:szCs w:val="24"/>
        </w:rPr>
        <w:t xml:space="preserve">  </w:t>
      </w:r>
      <w:r w:rsidR="002A238D">
        <w:rPr>
          <w:rFonts w:ascii="Times New Roman" w:hAnsi="Times New Roman"/>
          <w:sz w:val="24"/>
          <w:szCs w:val="24"/>
        </w:rPr>
        <w:t xml:space="preserve">Ms. Harding claims she never wanted </w:t>
      </w:r>
      <w:r w:rsidR="009762BD">
        <w:rPr>
          <w:rFonts w:ascii="Times New Roman" w:hAnsi="Times New Roman"/>
          <w:sz w:val="24"/>
          <w:szCs w:val="24"/>
        </w:rPr>
        <w:t xml:space="preserve">Class Counsel </w:t>
      </w:r>
      <w:r w:rsidR="002A238D">
        <w:rPr>
          <w:rFonts w:ascii="Times New Roman" w:hAnsi="Times New Roman"/>
          <w:sz w:val="24"/>
          <w:szCs w:val="24"/>
        </w:rPr>
        <w:t>to represent her, yet she did not inform MLG of this herself until June 16, 2016.</w:t>
      </w:r>
      <w:r w:rsidR="002A238D">
        <w:rPr>
          <w:rStyle w:val="FootnoteReference"/>
          <w:rFonts w:ascii="Times New Roman" w:hAnsi="Times New Roman"/>
          <w:sz w:val="24"/>
          <w:szCs w:val="24"/>
        </w:rPr>
        <w:footnoteReference w:id="7"/>
      </w:r>
      <w:r w:rsidR="009762BD">
        <w:rPr>
          <w:rFonts w:ascii="Times New Roman" w:hAnsi="Times New Roman"/>
          <w:sz w:val="24"/>
          <w:szCs w:val="24"/>
        </w:rPr>
        <w:t xml:space="preserve"> </w:t>
      </w:r>
      <w:r w:rsidR="00BB0495">
        <w:rPr>
          <w:rFonts w:ascii="Times New Roman" w:hAnsi="Times New Roman"/>
          <w:sz w:val="24"/>
          <w:szCs w:val="24"/>
        </w:rPr>
        <w:t xml:space="preserve"> </w:t>
      </w:r>
      <w:r w:rsidR="009762BD">
        <w:rPr>
          <w:rFonts w:ascii="Times New Roman" w:hAnsi="Times New Roman"/>
          <w:sz w:val="24"/>
          <w:szCs w:val="24"/>
        </w:rPr>
        <w:t xml:space="preserve">There are no new facts asserted in Defendants’ MTD that were not asserted numerous times in previous pleadings and at hearings.  There is also no new “evidence” that was not in existence and known to Defendants since it first </w:t>
      </w:r>
      <w:r w:rsidR="00BB0495">
        <w:rPr>
          <w:rFonts w:ascii="Times New Roman" w:hAnsi="Times New Roman"/>
          <w:sz w:val="24"/>
          <w:szCs w:val="24"/>
        </w:rPr>
        <w:t xml:space="preserve">began to </w:t>
      </w:r>
      <w:r w:rsidR="009762BD">
        <w:rPr>
          <w:rFonts w:ascii="Times New Roman" w:hAnsi="Times New Roman"/>
          <w:sz w:val="24"/>
          <w:szCs w:val="24"/>
        </w:rPr>
        <w:t xml:space="preserve">raise these issues in February 2016.  </w:t>
      </w:r>
    </w:p>
    <w:p w:rsidR="00B12032" w:rsidRDefault="008B2CB9" w:rsidP="00B12032">
      <w:pPr>
        <w:widowControl w:val="0"/>
        <w:ind w:firstLine="360"/>
        <w:rPr>
          <w:rFonts w:ascii="Times New Roman" w:hAnsi="Times New Roman"/>
          <w:sz w:val="24"/>
          <w:szCs w:val="24"/>
        </w:rPr>
      </w:pPr>
      <w:r>
        <w:rPr>
          <w:rFonts w:ascii="Times New Roman" w:hAnsi="Times New Roman"/>
          <w:sz w:val="24"/>
          <w:szCs w:val="24"/>
        </w:rPr>
        <w:t>Defendants present nothing new in their MTD that wasn’t included in their Motion to Decertify filed on April 29, 2016  to support their argument Mahoney Law Group (“MLG”) should be found inadequate as Class Counsel.</w:t>
      </w:r>
      <w:r>
        <w:rPr>
          <w:rStyle w:val="FootnoteReference"/>
          <w:rFonts w:ascii="Times New Roman" w:hAnsi="Times New Roman"/>
          <w:sz w:val="24"/>
          <w:szCs w:val="24"/>
        </w:rPr>
        <w:footnoteReference w:id="8"/>
      </w:r>
      <w:r w:rsidR="007B3F45">
        <w:rPr>
          <w:rFonts w:ascii="Times New Roman" w:hAnsi="Times New Roman"/>
          <w:sz w:val="24"/>
          <w:szCs w:val="24"/>
        </w:rPr>
        <w:t xml:space="preserve">  In addition, Defendants lodged the same accusations of unethical conduct against MLG in its Opposition to Plaintiffs’ Motion to Disqualify</w:t>
      </w:r>
      <w:r w:rsidR="002639A9">
        <w:rPr>
          <w:rFonts w:ascii="Times New Roman" w:hAnsi="Times New Roman"/>
          <w:sz w:val="24"/>
          <w:szCs w:val="24"/>
        </w:rPr>
        <w:t xml:space="preserve"> and other pleadings and during court hearings</w:t>
      </w:r>
      <w:r w:rsidR="00416F51">
        <w:rPr>
          <w:rFonts w:ascii="Times New Roman" w:hAnsi="Times New Roman"/>
          <w:sz w:val="24"/>
          <w:szCs w:val="24"/>
        </w:rPr>
        <w:t xml:space="preserve"> as set forth in more detail below</w:t>
      </w:r>
      <w:r w:rsidR="007B3F45">
        <w:rPr>
          <w:rFonts w:ascii="Times New Roman" w:hAnsi="Times New Roman"/>
          <w:sz w:val="24"/>
          <w:szCs w:val="24"/>
        </w:rPr>
        <w:t>.</w:t>
      </w:r>
      <w:r w:rsidR="007B3F45">
        <w:rPr>
          <w:rStyle w:val="FootnoteReference"/>
          <w:rFonts w:ascii="Times New Roman" w:hAnsi="Times New Roman"/>
          <w:sz w:val="24"/>
          <w:szCs w:val="24"/>
        </w:rPr>
        <w:footnoteReference w:id="9"/>
      </w:r>
      <w:r w:rsidR="007B3F45">
        <w:rPr>
          <w:rFonts w:ascii="Times New Roman" w:hAnsi="Times New Roman"/>
          <w:sz w:val="24"/>
          <w:szCs w:val="24"/>
        </w:rPr>
        <w:t xml:space="preserve">  </w:t>
      </w:r>
    </w:p>
    <w:p w:rsidR="00B12032" w:rsidRDefault="00BB0495" w:rsidP="00BB0495">
      <w:pPr>
        <w:widowControl w:val="0"/>
        <w:ind w:firstLine="360"/>
        <w:rPr>
          <w:rFonts w:ascii="Times New Roman" w:hAnsi="Times New Roman"/>
          <w:sz w:val="24"/>
          <w:szCs w:val="24"/>
        </w:rPr>
      </w:pPr>
      <w:r>
        <w:rPr>
          <w:rFonts w:ascii="Times New Roman" w:hAnsi="Times New Roman"/>
          <w:sz w:val="24"/>
          <w:szCs w:val="24"/>
        </w:rPr>
        <w:t>As set forth herein, MLG acted pursuant to their duties as Class Counsel</w:t>
      </w:r>
      <w:r w:rsidR="00B7648C">
        <w:rPr>
          <w:rFonts w:ascii="Times New Roman" w:hAnsi="Times New Roman"/>
          <w:sz w:val="24"/>
          <w:szCs w:val="24"/>
        </w:rPr>
        <w:t xml:space="preserve"> which did not end upon the order compelling arbitration</w:t>
      </w:r>
      <w:r>
        <w:rPr>
          <w:rFonts w:ascii="Times New Roman" w:hAnsi="Times New Roman"/>
          <w:sz w:val="24"/>
          <w:szCs w:val="24"/>
        </w:rPr>
        <w:t xml:space="preserve">.  </w:t>
      </w:r>
      <w:r w:rsidR="0070038D">
        <w:rPr>
          <w:rFonts w:ascii="Times New Roman" w:hAnsi="Times New Roman"/>
          <w:sz w:val="24"/>
          <w:szCs w:val="24"/>
        </w:rPr>
        <w:t>Further, and fatal to Defendants’ Motion, the conduct about which Defendants complain is not taking place within an action currently pending before this Court</w:t>
      </w:r>
      <w:r w:rsidR="00B7648C">
        <w:rPr>
          <w:rFonts w:ascii="Times New Roman" w:hAnsi="Times New Roman"/>
          <w:sz w:val="24"/>
          <w:szCs w:val="24"/>
        </w:rPr>
        <w:t xml:space="preserve"> and its Motion is prejudicially untimely</w:t>
      </w:r>
      <w:r w:rsidR="0070038D">
        <w:rPr>
          <w:rFonts w:ascii="Times New Roman" w:hAnsi="Times New Roman"/>
          <w:sz w:val="24"/>
          <w:szCs w:val="24"/>
        </w:rPr>
        <w:t xml:space="preserve">.  </w:t>
      </w:r>
    </w:p>
    <w:p w:rsidR="005C389F" w:rsidRPr="005C389F" w:rsidRDefault="005C389F" w:rsidP="000012E8">
      <w:pPr>
        <w:pStyle w:val="ListParagraph"/>
        <w:widowControl w:val="0"/>
        <w:numPr>
          <w:ilvl w:val="0"/>
          <w:numId w:val="9"/>
        </w:numPr>
        <w:rPr>
          <w:rFonts w:ascii="Times New Roman" w:hAnsi="Times New Roman"/>
          <w:b/>
          <w:sz w:val="24"/>
          <w:szCs w:val="24"/>
        </w:rPr>
      </w:pPr>
      <w:r>
        <w:rPr>
          <w:rFonts w:ascii="Times New Roman" w:hAnsi="Times New Roman"/>
          <w:b/>
          <w:sz w:val="24"/>
          <w:szCs w:val="24"/>
        </w:rPr>
        <w:t xml:space="preserve">THERE IS NOTHING UNETHICAL ABOUT CLASS COUNSEL’S CONDUCT IN THE ARBITRATION PROCEEDINGS </w:t>
      </w:r>
    </w:p>
    <w:p w:rsidR="001618EA" w:rsidRDefault="005C389F" w:rsidP="005C389F">
      <w:pPr>
        <w:widowControl w:val="0"/>
        <w:ind w:firstLine="360"/>
        <w:rPr>
          <w:rFonts w:ascii="Times New Roman" w:hAnsi="Times New Roman"/>
          <w:sz w:val="24"/>
          <w:szCs w:val="24"/>
        </w:rPr>
      </w:pPr>
      <w:r>
        <w:rPr>
          <w:rFonts w:ascii="Times New Roman" w:hAnsi="Times New Roman"/>
          <w:sz w:val="24"/>
          <w:szCs w:val="24"/>
        </w:rPr>
        <w:t xml:space="preserve">The Court has already had the opportunity to determine whether the actions of Class Counsel as alleged by Defendants renders Class Counsel inadequate to serve as such in </w:t>
      </w:r>
      <w:r>
        <w:rPr>
          <w:rFonts w:ascii="Times New Roman" w:hAnsi="Times New Roman"/>
          <w:sz w:val="24"/>
          <w:szCs w:val="24"/>
        </w:rPr>
        <w:lastRenderedPageBreak/>
        <w:t>Defendants’ Motion to Decertify Class.  The Court made no such finding.</w:t>
      </w:r>
      <w:r>
        <w:rPr>
          <w:rStyle w:val="FootnoteReference"/>
          <w:rFonts w:ascii="Times New Roman" w:hAnsi="Times New Roman"/>
          <w:sz w:val="24"/>
          <w:szCs w:val="24"/>
        </w:rPr>
        <w:footnoteReference w:id="10"/>
      </w:r>
      <w:r>
        <w:rPr>
          <w:rFonts w:ascii="Times New Roman" w:hAnsi="Times New Roman"/>
          <w:sz w:val="24"/>
          <w:szCs w:val="24"/>
        </w:rPr>
        <w:t xml:space="preserve">   Defendants’ entire argument that Class Counsel’s conduct in connection with the arbitration proceedings is “unethical” is based on </w:t>
      </w:r>
      <w:r w:rsidR="00CD3A24">
        <w:rPr>
          <w:rFonts w:ascii="Times New Roman" w:hAnsi="Times New Roman"/>
          <w:sz w:val="24"/>
          <w:szCs w:val="24"/>
        </w:rPr>
        <w:t>the assertions of</w:t>
      </w:r>
      <w:r>
        <w:rPr>
          <w:rFonts w:ascii="Times New Roman" w:hAnsi="Times New Roman"/>
          <w:sz w:val="24"/>
          <w:szCs w:val="24"/>
        </w:rPr>
        <w:t xml:space="preserve"> </w:t>
      </w:r>
      <w:r>
        <w:rPr>
          <w:rFonts w:ascii="Times New Roman" w:hAnsi="Times New Roman"/>
          <w:b/>
          <w:sz w:val="24"/>
          <w:szCs w:val="24"/>
        </w:rPr>
        <w:t xml:space="preserve">one </w:t>
      </w:r>
      <w:r>
        <w:rPr>
          <w:rFonts w:ascii="Times New Roman" w:hAnsi="Times New Roman"/>
          <w:sz w:val="24"/>
          <w:szCs w:val="24"/>
        </w:rPr>
        <w:t xml:space="preserve">individual.  </w:t>
      </w:r>
      <w:r w:rsidR="001618EA">
        <w:rPr>
          <w:rFonts w:ascii="Times New Roman" w:hAnsi="Times New Roman"/>
          <w:sz w:val="24"/>
          <w:szCs w:val="24"/>
        </w:rPr>
        <w:t xml:space="preserve">Defendants claim Class Counsel does not represent the individuals whose claims are pending in arbitration.  </w:t>
      </w:r>
      <w:r>
        <w:rPr>
          <w:rFonts w:ascii="Times New Roman" w:hAnsi="Times New Roman"/>
          <w:sz w:val="24"/>
          <w:szCs w:val="24"/>
        </w:rPr>
        <w:t xml:space="preserve">Defendants do not purport to have knowledge of conversations or other correspondence between Class Counsel and </w:t>
      </w:r>
      <w:r w:rsidR="00CD3A24">
        <w:rPr>
          <w:rFonts w:ascii="Times New Roman" w:hAnsi="Times New Roman"/>
          <w:sz w:val="24"/>
          <w:szCs w:val="24"/>
        </w:rPr>
        <w:t xml:space="preserve">any other </w:t>
      </w:r>
      <w:r>
        <w:rPr>
          <w:rFonts w:ascii="Times New Roman" w:hAnsi="Times New Roman"/>
          <w:sz w:val="24"/>
          <w:szCs w:val="24"/>
        </w:rPr>
        <w:t>arbitration class member.  Defendants do not have any personal knowledge of the attorney-client relationship between any other individual.  The motion is based on assumptions and speculation based on one witness whose motives appear suspicious.</w:t>
      </w:r>
      <w:r>
        <w:rPr>
          <w:rStyle w:val="FootnoteReference"/>
          <w:rFonts w:ascii="Times New Roman" w:hAnsi="Times New Roman"/>
          <w:sz w:val="24"/>
          <w:szCs w:val="24"/>
        </w:rPr>
        <w:footnoteReference w:id="11"/>
      </w:r>
      <w:r>
        <w:rPr>
          <w:rFonts w:ascii="Times New Roman" w:hAnsi="Times New Roman"/>
          <w:sz w:val="24"/>
          <w:szCs w:val="24"/>
        </w:rPr>
        <w:t xml:space="preserve"> </w:t>
      </w:r>
    </w:p>
    <w:p w:rsidR="001618EA" w:rsidRDefault="001618EA" w:rsidP="001618EA">
      <w:pPr>
        <w:pStyle w:val="ListParagraph"/>
        <w:widowControl w:val="0"/>
        <w:numPr>
          <w:ilvl w:val="0"/>
          <w:numId w:val="13"/>
        </w:numPr>
        <w:rPr>
          <w:rFonts w:ascii="Times New Roman" w:hAnsi="Times New Roman"/>
          <w:sz w:val="24"/>
          <w:szCs w:val="24"/>
        </w:rPr>
      </w:pPr>
      <w:r>
        <w:rPr>
          <w:rFonts w:ascii="Times New Roman" w:hAnsi="Times New Roman"/>
          <w:b/>
          <w:sz w:val="24"/>
          <w:szCs w:val="24"/>
        </w:rPr>
        <w:t>Class Counsel’s Actions Were in Fulfillment of their Duties as Class Counsel</w:t>
      </w:r>
    </w:p>
    <w:p w:rsidR="00CC4158" w:rsidRDefault="00CC4158" w:rsidP="00EE1BE7">
      <w:pPr>
        <w:widowControl w:val="0"/>
        <w:ind w:firstLine="360"/>
        <w:rPr>
          <w:rFonts w:ascii="Times New Roman" w:hAnsi="Times New Roman"/>
          <w:sz w:val="24"/>
          <w:szCs w:val="24"/>
        </w:rPr>
      </w:pPr>
      <w:r>
        <w:rPr>
          <w:rFonts w:ascii="Times New Roman" w:hAnsi="Times New Roman"/>
          <w:sz w:val="24"/>
          <w:szCs w:val="24"/>
        </w:rPr>
        <w:t>No one disputes an attorney-client relationship was formed upon the entry of the order certifying the class and designating MLG as class counsel</w:t>
      </w:r>
      <w:r w:rsidR="000C0A66">
        <w:rPr>
          <w:rFonts w:ascii="Times New Roman" w:hAnsi="Times New Roman"/>
          <w:sz w:val="24"/>
          <w:szCs w:val="24"/>
        </w:rPr>
        <w:t>, which included Ms. Harding</w:t>
      </w:r>
      <w:r>
        <w:rPr>
          <w:rFonts w:ascii="Times New Roman" w:hAnsi="Times New Roman"/>
          <w:sz w:val="24"/>
          <w:szCs w:val="24"/>
        </w:rPr>
        <w:t>.</w:t>
      </w:r>
      <w:r w:rsidR="000C0A66">
        <w:rPr>
          <w:rStyle w:val="FootnoteReference"/>
          <w:rFonts w:ascii="Times New Roman" w:hAnsi="Times New Roman"/>
          <w:sz w:val="24"/>
          <w:szCs w:val="24"/>
        </w:rPr>
        <w:footnoteReference w:id="12"/>
      </w:r>
      <w:r>
        <w:rPr>
          <w:rFonts w:ascii="Times New Roman" w:hAnsi="Times New Roman"/>
          <w:sz w:val="24"/>
          <w:szCs w:val="24"/>
        </w:rPr>
        <w:t xml:space="preserve">  Defendants’ argument is that MLG’s duties as class counsel ceased to exist upon the entry of the order compelling the claims of certain class members to arbitration.  As set forth below, MLG’s duty to absent class members continued beyond the order compelling arbitration and MLG acted within those duties in preserving the claims in arbitration.</w:t>
      </w:r>
    </w:p>
    <w:p w:rsidR="005C389F" w:rsidRDefault="001618EA" w:rsidP="00EE1BE7">
      <w:pPr>
        <w:widowControl w:val="0"/>
        <w:ind w:firstLine="360"/>
        <w:rPr>
          <w:rFonts w:ascii="Times New Roman" w:hAnsi="Times New Roman"/>
          <w:sz w:val="24"/>
          <w:szCs w:val="24"/>
        </w:rPr>
      </w:pPr>
      <w:r>
        <w:rPr>
          <w:rFonts w:ascii="Times New Roman" w:hAnsi="Times New Roman"/>
          <w:sz w:val="24"/>
          <w:szCs w:val="24"/>
        </w:rPr>
        <w:t>Class Counsel</w:t>
      </w:r>
      <w:r w:rsidR="00EE1BE7">
        <w:rPr>
          <w:rFonts w:ascii="Times New Roman" w:hAnsi="Times New Roman"/>
          <w:sz w:val="24"/>
          <w:szCs w:val="24"/>
        </w:rPr>
        <w:t xml:space="preserve"> has the “duty to protect all claims that class members would reasonably expect to be asserted in the litigation that will be lost if not asserted.”</w:t>
      </w:r>
      <w:r w:rsidR="005C389F" w:rsidRPr="001618EA">
        <w:rPr>
          <w:rFonts w:ascii="Times New Roman" w:hAnsi="Times New Roman"/>
          <w:sz w:val="24"/>
          <w:szCs w:val="24"/>
        </w:rPr>
        <w:t xml:space="preserve">  </w:t>
      </w:r>
      <w:r w:rsidR="00EE1BE7">
        <w:rPr>
          <w:rFonts w:ascii="Times New Roman" w:hAnsi="Times New Roman"/>
          <w:i/>
          <w:sz w:val="24"/>
          <w:szCs w:val="24"/>
        </w:rPr>
        <w:t xml:space="preserve">Janik v. Rudy, Exelrod &amp; Zieff </w:t>
      </w:r>
      <w:r w:rsidR="00EE1BE7">
        <w:rPr>
          <w:rFonts w:ascii="Times New Roman" w:hAnsi="Times New Roman"/>
          <w:sz w:val="24"/>
          <w:szCs w:val="24"/>
        </w:rPr>
        <w:t>(2004) 119 Cal.App.4</w:t>
      </w:r>
      <w:r w:rsidR="00EE1BE7" w:rsidRPr="00EE1BE7">
        <w:rPr>
          <w:rFonts w:ascii="Times New Roman" w:hAnsi="Times New Roman"/>
          <w:sz w:val="24"/>
          <w:szCs w:val="24"/>
          <w:vertAlign w:val="superscript"/>
        </w:rPr>
        <w:t>th</w:t>
      </w:r>
      <w:r w:rsidR="00EE1BE7">
        <w:rPr>
          <w:rFonts w:ascii="Times New Roman" w:hAnsi="Times New Roman"/>
          <w:sz w:val="24"/>
          <w:szCs w:val="24"/>
        </w:rPr>
        <w:t xml:space="preserve"> 930, 939.  This duty extends beyond the prosecution of class claims set forth in the class certification order.  </w:t>
      </w:r>
      <w:r w:rsidR="00EE1BE7" w:rsidRPr="00EE1BE7">
        <w:rPr>
          <w:rFonts w:ascii="Times New Roman" w:hAnsi="Times New Roman"/>
          <w:i/>
          <w:sz w:val="24"/>
          <w:szCs w:val="24"/>
        </w:rPr>
        <w:t>Id.</w:t>
      </w:r>
      <w:r w:rsidR="005C389F" w:rsidRPr="001618EA">
        <w:rPr>
          <w:rFonts w:ascii="Times New Roman" w:hAnsi="Times New Roman"/>
          <w:sz w:val="24"/>
          <w:szCs w:val="24"/>
        </w:rPr>
        <w:t xml:space="preserve"> </w:t>
      </w:r>
      <w:r w:rsidR="00EE1BE7">
        <w:rPr>
          <w:rFonts w:ascii="Times New Roman" w:hAnsi="Times New Roman"/>
          <w:sz w:val="24"/>
          <w:szCs w:val="24"/>
        </w:rPr>
        <w:t xml:space="preserve">  The duties of class counsel are </w:t>
      </w:r>
      <w:r w:rsidR="0048005A">
        <w:rPr>
          <w:rFonts w:ascii="Times New Roman" w:hAnsi="Times New Roman"/>
          <w:sz w:val="24"/>
          <w:szCs w:val="24"/>
        </w:rPr>
        <w:t>analogized</w:t>
      </w:r>
      <w:r w:rsidR="00EE1BE7">
        <w:rPr>
          <w:rFonts w:ascii="Times New Roman" w:hAnsi="Times New Roman"/>
          <w:sz w:val="24"/>
          <w:szCs w:val="24"/>
        </w:rPr>
        <w:t xml:space="preserve"> to obligations an attorney assumes under a retainer agreement whereby an attorney owes that client (and the class) “the duty to at least consider and advise the client if there are apparent related matters that the client is overlooking and should be pursued to avoid prejudicing the client’s interests.”  </w:t>
      </w:r>
      <w:r w:rsidR="00EE1BE7">
        <w:rPr>
          <w:rFonts w:ascii="Times New Roman" w:hAnsi="Times New Roman"/>
          <w:i/>
          <w:sz w:val="24"/>
          <w:szCs w:val="24"/>
        </w:rPr>
        <w:t xml:space="preserve">Janik supra </w:t>
      </w:r>
      <w:r w:rsidR="00EE1BE7">
        <w:rPr>
          <w:rFonts w:ascii="Times New Roman" w:hAnsi="Times New Roman"/>
          <w:sz w:val="24"/>
          <w:szCs w:val="24"/>
        </w:rPr>
        <w:t xml:space="preserve">at 940.  The </w:t>
      </w:r>
      <w:r w:rsidR="00EE1BE7">
        <w:rPr>
          <w:rFonts w:ascii="Times New Roman" w:hAnsi="Times New Roman"/>
          <w:i/>
          <w:sz w:val="24"/>
          <w:szCs w:val="24"/>
        </w:rPr>
        <w:t xml:space="preserve">Janik </w:t>
      </w:r>
      <w:r w:rsidR="00EE1BE7">
        <w:rPr>
          <w:rFonts w:ascii="Times New Roman" w:hAnsi="Times New Roman"/>
          <w:sz w:val="24"/>
          <w:szCs w:val="24"/>
        </w:rPr>
        <w:t xml:space="preserve">case involved a malpractice suit brought by class members against a very reputable and experienced class action firm alleging as class counsel it failed to preserve all claims permitting recovery for the class.  Specifically, it was </w:t>
      </w:r>
      <w:r w:rsidR="00EE1BE7">
        <w:rPr>
          <w:rFonts w:ascii="Times New Roman" w:hAnsi="Times New Roman"/>
          <w:sz w:val="24"/>
          <w:szCs w:val="24"/>
        </w:rPr>
        <w:lastRenderedPageBreak/>
        <w:t xml:space="preserve">alleged the firm’s failure to include claims under the UCL extending the statute of limitations for wage claims resulted in a denial of recovery for class members who only worked in the fourth year preceding the filing of the complaint.  </w:t>
      </w:r>
      <w:r w:rsidR="00EE1BE7">
        <w:rPr>
          <w:rFonts w:ascii="Times New Roman" w:hAnsi="Times New Roman"/>
          <w:i/>
          <w:sz w:val="24"/>
          <w:szCs w:val="24"/>
        </w:rPr>
        <w:t xml:space="preserve">Janik supra </w:t>
      </w:r>
      <w:r w:rsidR="00EE1BE7">
        <w:rPr>
          <w:rFonts w:ascii="Times New Roman" w:hAnsi="Times New Roman"/>
          <w:sz w:val="24"/>
          <w:szCs w:val="24"/>
        </w:rPr>
        <w:t xml:space="preserve">at 933.  The court engaged in an extensive analysis concluding that class counsels’ duty to class members may extend beyond the class claims, including the preservation of other related claims.  </w:t>
      </w:r>
      <w:r w:rsidR="00EE1BE7">
        <w:rPr>
          <w:rFonts w:ascii="Times New Roman" w:hAnsi="Times New Roman"/>
          <w:i/>
          <w:sz w:val="24"/>
          <w:szCs w:val="24"/>
        </w:rPr>
        <w:t xml:space="preserve">Janik supra </w:t>
      </w:r>
      <w:r w:rsidR="00EE1BE7">
        <w:rPr>
          <w:rFonts w:ascii="Times New Roman" w:hAnsi="Times New Roman"/>
          <w:sz w:val="24"/>
          <w:szCs w:val="24"/>
        </w:rPr>
        <w:t xml:space="preserve">at 941-42.  </w:t>
      </w:r>
      <w:r w:rsidR="00DA7470">
        <w:rPr>
          <w:rFonts w:ascii="Times New Roman" w:hAnsi="Times New Roman"/>
          <w:sz w:val="24"/>
          <w:szCs w:val="24"/>
        </w:rPr>
        <w:t xml:space="preserve">The court found inherent in class counsels’ obligations is the duty to bring to class members’ attention claims that may exist arising out of the circumstances of the certified claims and act to preserve those claims.  </w:t>
      </w:r>
      <w:r w:rsidR="00DA7470">
        <w:rPr>
          <w:rFonts w:ascii="Times New Roman" w:hAnsi="Times New Roman"/>
          <w:i/>
          <w:sz w:val="24"/>
          <w:szCs w:val="24"/>
        </w:rPr>
        <w:t xml:space="preserve">Id. </w:t>
      </w:r>
      <w:r w:rsidR="00DA7470">
        <w:rPr>
          <w:rFonts w:ascii="Times New Roman" w:hAnsi="Times New Roman"/>
          <w:sz w:val="24"/>
          <w:szCs w:val="24"/>
        </w:rPr>
        <w:t xml:space="preserve">at  942, citing </w:t>
      </w:r>
      <w:r w:rsidR="00DA7470">
        <w:rPr>
          <w:rFonts w:ascii="Times New Roman" w:hAnsi="Times New Roman"/>
          <w:i/>
          <w:sz w:val="24"/>
          <w:szCs w:val="24"/>
        </w:rPr>
        <w:t xml:space="preserve">Nichols v. Keller </w:t>
      </w:r>
      <w:r w:rsidR="00DA7470">
        <w:rPr>
          <w:rFonts w:ascii="Times New Roman" w:hAnsi="Times New Roman"/>
          <w:sz w:val="24"/>
          <w:szCs w:val="24"/>
        </w:rPr>
        <w:t>(1993) 15 Cal.App.4</w:t>
      </w:r>
      <w:r w:rsidR="00DA7470" w:rsidRPr="00DA7470">
        <w:rPr>
          <w:rFonts w:ascii="Times New Roman" w:hAnsi="Times New Roman"/>
          <w:sz w:val="24"/>
          <w:szCs w:val="24"/>
          <w:vertAlign w:val="superscript"/>
        </w:rPr>
        <w:t>th</w:t>
      </w:r>
      <w:r w:rsidR="00DA7470">
        <w:rPr>
          <w:rFonts w:ascii="Times New Roman" w:hAnsi="Times New Roman"/>
          <w:sz w:val="24"/>
          <w:szCs w:val="24"/>
        </w:rPr>
        <w:t xml:space="preserve"> 1672, 1684 [summary judgment reversed finding attorney had a duty to initiate a third party action on client’s behalf to preserve claims even though retainer agreement was limited to current action]. Interestingly enough, the </w:t>
      </w:r>
      <w:r w:rsidR="00DA7470">
        <w:rPr>
          <w:rFonts w:ascii="Times New Roman" w:hAnsi="Times New Roman"/>
          <w:i/>
          <w:sz w:val="24"/>
          <w:szCs w:val="24"/>
        </w:rPr>
        <w:t xml:space="preserve">Janik </w:t>
      </w:r>
      <w:r w:rsidR="00DA7470">
        <w:rPr>
          <w:rFonts w:ascii="Times New Roman" w:hAnsi="Times New Roman"/>
          <w:sz w:val="24"/>
          <w:szCs w:val="24"/>
        </w:rPr>
        <w:t xml:space="preserve">court also distinguished the case of </w:t>
      </w:r>
      <w:r w:rsidR="00DA7470">
        <w:rPr>
          <w:rFonts w:ascii="Times New Roman" w:hAnsi="Times New Roman"/>
          <w:i/>
          <w:sz w:val="24"/>
          <w:szCs w:val="24"/>
        </w:rPr>
        <w:t xml:space="preserve">Kleiner v. First Nat. Bank of Atlanta </w:t>
      </w:r>
      <w:r w:rsidR="00DA7470">
        <w:rPr>
          <w:rFonts w:ascii="Times New Roman" w:hAnsi="Times New Roman"/>
          <w:sz w:val="24"/>
          <w:szCs w:val="24"/>
        </w:rPr>
        <w:t>(N.D.Ga. 1983) 102 FRD 754 upon which Defendants rely heavily in their motion to argue no attorney-client relationship exists with former class members.</w:t>
      </w:r>
      <w:r w:rsidR="00DA7470">
        <w:rPr>
          <w:rStyle w:val="FootnoteReference"/>
          <w:rFonts w:ascii="Times New Roman" w:hAnsi="Times New Roman"/>
          <w:sz w:val="24"/>
          <w:szCs w:val="24"/>
        </w:rPr>
        <w:footnoteReference w:id="13"/>
      </w:r>
      <w:r w:rsidR="00DA7470">
        <w:rPr>
          <w:rFonts w:ascii="Times New Roman" w:hAnsi="Times New Roman"/>
          <w:sz w:val="24"/>
          <w:szCs w:val="24"/>
        </w:rPr>
        <w:t xml:space="preserve">  The court noted that </w:t>
      </w:r>
      <w:r w:rsidR="00DA7470">
        <w:rPr>
          <w:rFonts w:ascii="Times New Roman" w:hAnsi="Times New Roman"/>
          <w:i/>
          <w:sz w:val="24"/>
          <w:szCs w:val="24"/>
        </w:rPr>
        <w:t xml:space="preserve">Kleiner </w:t>
      </w:r>
      <w:r w:rsidR="00DA7470">
        <w:rPr>
          <w:rFonts w:ascii="Times New Roman" w:hAnsi="Times New Roman"/>
          <w:sz w:val="24"/>
          <w:szCs w:val="24"/>
        </w:rPr>
        <w:t xml:space="preserve">“does not stand for the proposition that ‘class counsel </w:t>
      </w:r>
      <w:r w:rsidR="00DA7470">
        <w:rPr>
          <w:rFonts w:ascii="Times New Roman" w:hAnsi="Times New Roman"/>
          <w:i/>
          <w:sz w:val="24"/>
          <w:szCs w:val="24"/>
        </w:rPr>
        <w:t xml:space="preserve">only </w:t>
      </w:r>
      <w:r w:rsidR="00DA7470">
        <w:rPr>
          <w:rFonts w:ascii="Times New Roman" w:hAnsi="Times New Roman"/>
          <w:sz w:val="24"/>
          <w:szCs w:val="24"/>
        </w:rPr>
        <w:t xml:space="preserve">assumes responsibility to class members for diligent, competent prosecution of the certified claims.’”  </w:t>
      </w:r>
      <w:r w:rsidR="00DA7470">
        <w:rPr>
          <w:rFonts w:ascii="Times New Roman" w:hAnsi="Times New Roman"/>
          <w:i/>
          <w:sz w:val="24"/>
          <w:szCs w:val="24"/>
        </w:rPr>
        <w:t xml:space="preserve">Janik supra </w:t>
      </w:r>
      <w:r w:rsidR="00DA7470">
        <w:rPr>
          <w:rFonts w:ascii="Times New Roman" w:hAnsi="Times New Roman"/>
          <w:sz w:val="24"/>
          <w:szCs w:val="24"/>
        </w:rPr>
        <w:t xml:space="preserve">at </w:t>
      </w:r>
      <w:r w:rsidR="00286B61">
        <w:rPr>
          <w:rFonts w:ascii="Times New Roman" w:hAnsi="Times New Roman"/>
          <w:sz w:val="24"/>
          <w:szCs w:val="24"/>
        </w:rPr>
        <w:t xml:space="preserve">939.  The court also noted the </w:t>
      </w:r>
      <w:r w:rsidR="00286B61">
        <w:rPr>
          <w:rFonts w:ascii="Times New Roman" w:hAnsi="Times New Roman"/>
          <w:i/>
          <w:sz w:val="24"/>
          <w:szCs w:val="24"/>
        </w:rPr>
        <w:t xml:space="preserve">Kleiner </w:t>
      </w:r>
      <w:r w:rsidR="00286B61">
        <w:rPr>
          <w:rFonts w:ascii="Times New Roman" w:hAnsi="Times New Roman"/>
          <w:sz w:val="24"/>
          <w:szCs w:val="24"/>
        </w:rPr>
        <w:t xml:space="preserve">decision was focused on when the attorney-client relationship </w:t>
      </w:r>
      <w:r w:rsidR="00286B61">
        <w:rPr>
          <w:rFonts w:ascii="Times New Roman" w:hAnsi="Times New Roman"/>
          <w:b/>
          <w:sz w:val="24"/>
          <w:szCs w:val="24"/>
        </w:rPr>
        <w:t>begins</w:t>
      </w:r>
      <w:r w:rsidR="00286B61">
        <w:rPr>
          <w:rFonts w:ascii="Times New Roman" w:hAnsi="Times New Roman"/>
          <w:sz w:val="24"/>
          <w:szCs w:val="24"/>
        </w:rPr>
        <w:t xml:space="preserve"> not the scope of that relationship.  </w:t>
      </w:r>
      <w:r w:rsidR="00286B61">
        <w:rPr>
          <w:rFonts w:ascii="Times New Roman" w:hAnsi="Times New Roman"/>
          <w:i/>
          <w:sz w:val="24"/>
          <w:szCs w:val="24"/>
        </w:rPr>
        <w:t xml:space="preserve">Id. </w:t>
      </w:r>
      <w:r w:rsidR="00286B61">
        <w:rPr>
          <w:rFonts w:ascii="Times New Roman" w:hAnsi="Times New Roman"/>
          <w:sz w:val="24"/>
          <w:szCs w:val="24"/>
        </w:rPr>
        <w:t>at  940.</w:t>
      </w:r>
      <w:r w:rsidR="00323886">
        <w:rPr>
          <w:rFonts w:ascii="Times New Roman" w:hAnsi="Times New Roman"/>
          <w:sz w:val="24"/>
          <w:szCs w:val="24"/>
        </w:rPr>
        <w:t xml:space="preserve">  </w:t>
      </w:r>
    </w:p>
    <w:p w:rsidR="00AA6668" w:rsidRDefault="00323886" w:rsidP="00323886">
      <w:pPr>
        <w:widowControl w:val="0"/>
        <w:rPr>
          <w:rFonts w:ascii="Times New Roman" w:hAnsi="Times New Roman"/>
          <w:sz w:val="24"/>
          <w:szCs w:val="24"/>
        </w:rPr>
      </w:pPr>
      <w:r>
        <w:rPr>
          <w:rFonts w:ascii="Times New Roman" w:hAnsi="Times New Roman"/>
          <w:sz w:val="24"/>
          <w:szCs w:val="24"/>
        </w:rPr>
        <w:tab/>
      </w:r>
      <w:r w:rsidR="0048005A">
        <w:rPr>
          <w:rFonts w:ascii="Times New Roman" w:hAnsi="Times New Roman"/>
          <w:sz w:val="24"/>
          <w:szCs w:val="24"/>
        </w:rPr>
        <w:t>Arguably</w:t>
      </w:r>
      <w:r>
        <w:rPr>
          <w:rFonts w:ascii="Times New Roman" w:hAnsi="Times New Roman"/>
          <w:sz w:val="24"/>
          <w:szCs w:val="24"/>
        </w:rPr>
        <w:t xml:space="preserve">, the is no legal authority specifically addressing whether class counsel’s duty extends to preserving certified class claims compelled to arbitration.  However, the </w:t>
      </w:r>
      <w:r>
        <w:rPr>
          <w:rFonts w:ascii="Times New Roman" w:hAnsi="Times New Roman"/>
          <w:i/>
          <w:sz w:val="24"/>
          <w:szCs w:val="24"/>
        </w:rPr>
        <w:t xml:space="preserve">Janik </w:t>
      </w:r>
      <w:r>
        <w:rPr>
          <w:rFonts w:ascii="Times New Roman" w:hAnsi="Times New Roman"/>
          <w:sz w:val="24"/>
          <w:szCs w:val="24"/>
        </w:rPr>
        <w:t xml:space="preserve">and other cases indicate that it does.  </w:t>
      </w:r>
      <w:r>
        <w:rPr>
          <w:rFonts w:ascii="Times New Roman" w:hAnsi="Times New Roman"/>
          <w:i/>
          <w:sz w:val="24"/>
          <w:szCs w:val="24"/>
        </w:rPr>
        <w:t xml:space="preserve">Barboza v. West Coast Digital GSM, Inc. </w:t>
      </w:r>
      <w:r>
        <w:rPr>
          <w:rFonts w:ascii="Times New Roman" w:hAnsi="Times New Roman"/>
          <w:sz w:val="24"/>
          <w:szCs w:val="24"/>
        </w:rPr>
        <w:t>(2009) 1790 Cal.App.4</w:t>
      </w:r>
      <w:r w:rsidRPr="00323886">
        <w:rPr>
          <w:rFonts w:ascii="Times New Roman" w:hAnsi="Times New Roman"/>
          <w:sz w:val="24"/>
          <w:szCs w:val="24"/>
          <w:vertAlign w:val="superscript"/>
        </w:rPr>
        <w:t>th</w:t>
      </w:r>
      <w:r>
        <w:rPr>
          <w:rFonts w:ascii="Times New Roman" w:hAnsi="Times New Roman"/>
          <w:sz w:val="24"/>
          <w:szCs w:val="24"/>
        </w:rPr>
        <w:t xml:space="preserve"> 540 found that class counsel’s duty to absent class members did not end at judgment.  </w:t>
      </w:r>
      <w:r>
        <w:rPr>
          <w:rFonts w:ascii="Times New Roman" w:hAnsi="Times New Roman"/>
          <w:i/>
          <w:sz w:val="24"/>
          <w:szCs w:val="24"/>
        </w:rPr>
        <w:t xml:space="preserve">Id. </w:t>
      </w:r>
      <w:r>
        <w:rPr>
          <w:rFonts w:ascii="Times New Roman" w:hAnsi="Times New Roman"/>
          <w:sz w:val="24"/>
          <w:szCs w:val="24"/>
        </w:rPr>
        <w:t xml:space="preserve">at 547.  In that case, after judgment was entered for the class it became necessary to take legal action to enforce the judgment.  </w:t>
      </w:r>
      <w:r>
        <w:rPr>
          <w:rFonts w:ascii="Times New Roman" w:hAnsi="Times New Roman"/>
          <w:i/>
          <w:sz w:val="24"/>
          <w:szCs w:val="24"/>
        </w:rPr>
        <w:t xml:space="preserve">Id.  </w:t>
      </w:r>
      <w:r>
        <w:rPr>
          <w:rFonts w:ascii="Times New Roman" w:hAnsi="Times New Roman"/>
          <w:sz w:val="24"/>
          <w:szCs w:val="24"/>
        </w:rPr>
        <w:t xml:space="preserve">The court held that even though judgment enforcement would constitute a separate action and may be beyond class </w:t>
      </w:r>
      <w:r w:rsidR="0048005A">
        <w:rPr>
          <w:rFonts w:ascii="Times New Roman" w:hAnsi="Times New Roman"/>
          <w:sz w:val="24"/>
          <w:szCs w:val="24"/>
        </w:rPr>
        <w:t>counsel’s</w:t>
      </w:r>
      <w:r>
        <w:rPr>
          <w:rFonts w:ascii="Times New Roman" w:hAnsi="Times New Roman"/>
          <w:sz w:val="24"/>
          <w:szCs w:val="24"/>
        </w:rPr>
        <w:t xml:space="preserve"> expertise, the duty of class counsel mandated </w:t>
      </w:r>
      <w:r w:rsidR="001F4572">
        <w:rPr>
          <w:rFonts w:ascii="Times New Roman" w:hAnsi="Times New Roman"/>
          <w:sz w:val="24"/>
          <w:szCs w:val="24"/>
        </w:rPr>
        <w:t xml:space="preserve">“as the guardian of rights of absent class members” that the attorneys proceed to enforce the judgment.  </w:t>
      </w:r>
      <w:r w:rsidR="001F4572">
        <w:rPr>
          <w:rFonts w:ascii="Times New Roman" w:hAnsi="Times New Roman"/>
          <w:i/>
          <w:sz w:val="24"/>
          <w:szCs w:val="24"/>
        </w:rPr>
        <w:t xml:space="preserve">Id.  Barboza </w:t>
      </w:r>
      <w:r w:rsidR="001F4572">
        <w:rPr>
          <w:rFonts w:ascii="Times New Roman" w:hAnsi="Times New Roman"/>
          <w:sz w:val="24"/>
          <w:szCs w:val="24"/>
        </w:rPr>
        <w:t xml:space="preserve">and </w:t>
      </w:r>
      <w:r w:rsidR="001F4572">
        <w:rPr>
          <w:rFonts w:ascii="Times New Roman" w:hAnsi="Times New Roman"/>
          <w:i/>
          <w:sz w:val="24"/>
          <w:szCs w:val="24"/>
        </w:rPr>
        <w:t xml:space="preserve">Janik </w:t>
      </w:r>
      <w:r w:rsidR="001F4572">
        <w:rPr>
          <w:rFonts w:ascii="Times New Roman" w:hAnsi="Times New Roman"/>
          <w:sz w:val="24"/>
          <w:szCs w:val="24"/>
        </w:rPr>
        <w:t xml:space="preserve">establish that class counsels’ </w:t>
      </w:r>
      <w:r w:rsidR="001F4572">
        <w:rPr>
          <w:rFonts w:ascii="Times New Roman" w:hAnsi="Times New Roman"/>
          <w:sz w:val="24"/>
          <w:szCs w:val="24"/>
        </w:rPr>
        <w:lastRenderedPageBreak/>
        <w:t xml:space="preserve">duties to absent class members extend beyond the certified class claims and in some instances, beyond the claims asserted in the litigation.  </w:t>
      </w:r>
    </w:p>
    <w:p w:rsidR="00A64939" w:rsidRPr="00413110" w:rsidRDefault="00413110" w:rsidP="00413110">
      <w:pPr>
        <w:pStyle w:val="ListParagraph"/>
        <w:widowControl w:val="0"/>
        <w:numPr>
          <w:ilvl w:val="0"/>
          <w:numId w:val="13"/>
        </w:numPr>
        <w:rPr>
          <w:rFonts w:ascii="Times New Roman" w:hAnsi="Times New Roman"/>
          <w:b/>
          <w:sz w:val="24"/>
          <w:szCs w:val="24"/>
        </w:rPr>
      </w:pPr>
      <w:r>
        <w:rPr>
          <w:rFonts w:ascii="Times New Roman" w:hAnsi="Times New Roman"/>
          <w:b/>
          <w:sz w:val="24"/>
          <w:szCs w:val="24"/>
        </w:rPr>
        <w:t>MLG Was Required to Provide Notice to Class Members’ Whose Claims were Compelled to Arbitration</w:t>
      </w:r>
    </w:p>
    <w:p w:rsidR="00413110" w:rsidRDefault="00D95BE0" w:rsidP="00413110">
      <w:pPr>
        <w:widowControl w:val="0"/>
        <w:ind w:left="720"/>
        <w:rPr>
          <w:rFonts w:ascii="Times New Roman" w:hAnsi="Times New Roman"/>
          <w:sz w:val="24"/>
          <w:szCs w:val="24"/>
        </w:rPr>
      </w:pPr>
      <w:r>
        <w:rPr>
          <w:rFonts w:ascii="Times New Roman" w:hAnsi="Times New Roman"/>
          <w:sz w:val="24"/>
          <w:szCs w:val="24"/>
        </w:rPr>
        <w:t>California Rules of Court Rule 3.770(c) states:</w:t>
      </w:r>
    </w:p>
    <w:p w:rsidR="00D95BE0" w:rsidRPr="00413110" w:rsidRDefault="00D95BE0" w:rsidP="00D95BE0">
      <w:pPr>
        <w:widowControl w:val="0"/>
        <w:spacing w:line="240" w:lineRule="auto"/>
        <w:ind w:left="720"/>
        <w:contextualSpacing/>
        <w:rPr>
          <w:rFonts w:ascii="Times New Roman" w:hAnsi="Times New Roman"/>
          <w:sz w:val="24"/>
          <w:szCs w:val="24"/>
        </w:rPr>
      </w:pPr>
      <w:r>
        <w:rPr>
          <w:rFonts w:ascii="Times New Roman" w:hAnsi="Times New Roman"/>
          <w:sz w:val="24"/>
          <w:szCs w:val="24"/>
        </w:rPr>
        <w:t>“</w:t>
      </w:r>
      <w:r w:rsidR="003E2C9E">
        <w:rPr>
          <w:rFonts w:ascii="Times New Roman" w:hAnsi="Times New Roman"/>
          <w:sz w:val="24"/>
          <w:szCs w:val="24"/>
        </w:rPr>
        <w:t xml:space="preserve">(c) </w:t>
      </w:r>
      <w:r w:rsidR="003E2C9E">
        <w:rPr>
          <w:rFonts w:ascii="Times New Roman" w:hAnsi="Times New Roman"/>
          <w:b/>
          <w:sz w:val="24"/>
          <w:szCs w:val="24"/>
        </w:rPr>
        <w:t xml:space="preserve">Notice to class of dismissal:  </w:t>
      </w:r>
      <w:r>
        <w:rPr>
          <w:rFonts w:ascii="Times New Roman" w:hAnsi="Times New Roman"/>
          <w:sz w:val="24"/>
          <w:szCs w:val="24"/>
        </w:rPr>
        <w:t>If the court has certified the class, and notice of the pendency of the action has been provided to class members, notice of the dismissal must be given to the class in a manner specified by the court.”</w:t>
      </w:r>
      <w:r>
        <w:rPr>
          <w:rFonts w:ascii="Times New Roman" w:hAnsi="Times New Roman"/>
          <w:sz w:val="24"/>
          <w:szCs w:val="24"/>
        </w:rPr>
        <w:br/>
      </w:r>
    </w:p>
    <w:p w:rsidR="003E2C9E" w:rsidRDefault="003E2C9E" w:rsidP="001F4572">
      <w:pPr>
        <w:widowControl w:val="0"/>
        <w:rPr>
          <w:rFonts w:ascii="Times New Roman" w:hAnsi="Times New Roman"/>
          <w:sz w:val="24"/>
          <w:szCs w:val="24"/>
        </w:rPr>
      </w:pPr>
      <w:r>
        <w:rPr>
          <w:rFonts w:ascii="Times New Roman" w:hAnsi="Times New Roman"/>
          <w:sz w:val="24"/>
          <w:szCs w:val="24"/>
        </w:rPr>
        <w:tab/>
      </w:r>
      <w:r w:rsidR="008C32A1">
        <w:rPr>
          <w:rFonts w:ascii="Times New Roman" w:hAnsi="Times New Roman"/>
          <w:sz w:val="24"/>
          <w:szCs w:val="24"/>
        </w:rPr>
        <w:t>Previously, these individuals were notified of the order granting class certification, provided an opportunity to opt-out and informed if they did not they could participate in this action as a class member.</w:t>
      </w:r>
      <w:r w:rsidR="008C32A1">
        <w:rPr>
          <w:rStyle w:val="FootnoteReference"/>
          <w:rFonts w:ascii="Times New Roman" w:hAnsi="Times New Roman"/>
          <w:sz w:val="24"/>
          <w:szCs w:val="24"/>
        </w:rPr>
        <w:footnoteReference w:id="14"/>
      </w:r>
      <w:r w:rsidR="008C32A1">
        <w:rPr>
          <w:rFonts w:ascii="Times New Roman" w:hAnsi="Times New Roman"/>
          <w:sz w:val="24"/>
          <w:szCs w:val="24"/>
        </w:rPr>
        <w:t xml:space="preserve">  </w:t>
      </w:r>
      <w:r>
        <w:rPr>
          <w:rFonts w:ascii="Times New Roman" w:hAnsi="Times New Roman"/>
          <w:sz w:val="24"/>
          <w:szCs w:val="24"/>
        </w:rPr>
        <w:t>The Court has recently held the order compelling arbitration resulted in the decertification of the claims of those class members who signed arbitration agreements.</w:t>
      </w:r>
      <w:r>
        <w:rPr>
          <w:rStyle w:val="FootnoteReference"/>
          <w:rFonts w:ascii="Times New Roman" w:hAnsi="Times New Roman"/>
          <w:sz w:val="24"/>
          <w:szCs w:val="24"/>
        </w:rPr>
        <w:footnoteReference w:id="15"/>
      </w:r>
      <w:r>
        <w:rPr>
          <w:rFonts w:ascii="Times New Roman" w:hAnsi="Times New Roman"/>
          <w:sz w:val="24"/>
          <w:szCs w:val="24"/>
        </w:rPr>
        <w:t xml:space="preserve">  The order also had the practical effect of dismissing the claims of those class members in the Superior Court.  </w:t>
      </w:r>
      <w:r w:rsidR="006C0D47">
        <w:rPr>
          <w:rFonts w:ascii="Times New Roman" w:hAnsi="Times New Roman"/>
          <w:sz w:val="24"/>
          <w:szCs w:val="24"/>
        </w:rPr>
        <w:t>In fact, these individuals would have no way of knowing that they had to pursue their claims in arbitration but for MLG’s communications.</w:t>
      </w:r>
      <w:r w:rsidR="006C0D47">
        <w:rPr>
          <w:rStyle w:val="FootnoteReference"/>
          <w:rFonts w:ascii="Times New Roman" w:hAnsi="Times New Roman"/>
          <w:sz w:val="24"/>
          <w:szCs w:val="24"/>
        </w:rPr>
        <w:footnoteReference w:id="16"/>
      </w:r>
      <w:r w:rsidR="006C0D47">
        <w:rPr>
          <w:rFonts w:ascii="Times New Roman" w:hAnsi="Times New Roman"/>
          <w:sz w:val="24"/>
          <w:szCs w:val="24"/>
        </w:rPr>
        <w:t xml:space="preserve">  </w:t>
      </w:r>
      <w:r>
        <w:rPr>
          <w:rFonts w:ascii="Times New Roman" w:hAnsi="Times New Roman"/>
          <w:sz w:val="24"/>
          <w:szCs w:val="24"/>
        </w:rPr>
        <w:t xml:space="preserve">Therefore, notice was required to be given to those affected by the Court’s order compelling arbitration.  </w:t>
      </w:r>
    </w:p>
    <w:p w:rsidR="003E2C9E" w:rsidRDefault="003E2C9E" w:rsidP="001F4572">
      <w:pPr>
        <w:widowControl w:val="0"/>
        <w:rPr>
          <w:rFonts w:ascii="Times New Roman" w:hAnsi="Times New Roman"/>
          <w:sz w:val="24"/>
          <w:szCs w:val="24"/>
        </w:rPr>
      </w:pPr>
      <w:r>
        <w:rPr>
          <w:rFonts w:ascii="Times New Roman" w:hAnsi="Times New Roman"/>
          <w:sz w:val="24"/>
          <w:szCs w:val="24"/>
        </w:rPr>
        <w:tab/>
        <w:t xml:space="preserve">In addition, the duties of class counsel, as stated above, required communications by Class Counsel with these individuals to advise them of their rights, options, and status of their claims. </w:t>
      </w:r>
      <w:r w:rsidR="009C5133">
        <w:rPr>
          <w:rFonts w:ascii="Times New Roman" w:hAnsi="Times New Roman"/>
          <w:i/>
          <w:sz w:val="24"/>
          <w:szCs w:val="24"/>
        </w:rPr>
        <w:t xml:space="preserve">Janik supra </w:t>
      </w:r>
      <w:r w:rsidR="009C5133">
        <w:rPr>
          <w:rFonts w:ascii="Times New Roman" w:hAnsi="Times New Roman"/>
          <w:sz w:val="24"/>
          <w:szCs w:val="24"/>
        </w:rPr>
        <w:t>at 940.</w:t>
      </w:r>
      <w:r w:rsidR="009C5133">
        <w:rPr>
          <w:rFonts w:ascii="Times New Roman" w:hAnsi="Times New Roman"/>
          <w:i/>
          <w:sz w:val="24"/>
          <w:szCs w:val="24"/>
        </w:rPr>
        <w:t xml:space="preserve"> </w:t>
      </w:r>
      <w:r>
        <w:rPr>
          <w:rFonts w:ascii="Times New Roman" w:hAnsi="Times New Roman"/>
          <w:sz w:val="24"/>
          <w:szCs w:val="24"/>
        </w:rPr>
        <w:t xml:space="preserve"> That is precisely what Class Counsel did.  </w:t>
      </w:r>
      <w:r w:rsidR="009C5133">
        <w:rPr>
          <w:rFonts w:ascii="Times New Roman" w:hAnsi="Times New Roman"/>
          <w:sz w:val="24"/>
          <w:szCs w:val="24"/>
        </w:rPr>
        <w:t xml:space="preserve">Therefore, MLG’s actions are not unethical in any way and Defendants’ MTD should be denied. </w:t>
      </w:r>
    </w:p>
    <w:p w:rsidR="00D61C18" w:rsidRPr="00D61C18" w:rsidRDefault="00D61C18" w:rsidP="00D61C18">
      <w:pPr>
        <w:pStyle w:val="ListParagraph"/>
        <w:widowControl w:val="0"/>
        <w:numPr>
          <w:ilvl w:val="0"/>
          <w:numId w:val="13"/>
        </w:numPr>
        <w:rPr>
          <w:rFonts w:ascii="Times New Roman" w:hAnsi="Times New Roman"/>
          <w:b/>
          <w:sz w:val="24"/>
          <w:szCs w:val="24"/>
        </w:rPr>
      </w:pPr>
      <w:r>
        <w:rPr>
          <w:rFonts w:ascii="Times New Roman" w:hAnsi="Times New Roman"/>
          <w:b/>
          <w:sz w:val="24"/>
          <w:szCs w:val="24"/>
        </w:rPr>
        <w:t xml:space="preserve">The Commencement of Arbitration Proceedings for </w:t>
      </w:r>
      <w:r w:rsidR="0048005A">
        <w:rPr>
          <w:rFonts w:ascii="Times New Roman" w:hAnsi="Times New Roman"/>
          <w:b/>
          <w:sz w:val="24"/>
          <w:szCs w:val="24"/>
        </w:rPr>
        <w:t>Class Members Who Submitted Declarations In Opposition to Class Certification</w:t>
      </w:r>
      <w:r>
        <w:rPr>
          <w:rFonts w:ascii="Times New Roman" w:hAnsi="Times New Roman"/>
          <w:b/>
          <w:sz w:val="24"/>
          <w:szCs w:val="24"/>
        </w:rPr>
        <w:t xml:space="preserve"> and Class Member</w:t>
      </w:r>
      <w:r w:rsidR="0048005A">
        <w:rPr>
          <w:rFonts w:ascii="Times New Roman" w:hAnsi="Times New Roman"/>
          <w:b/>
          <w:sz w:val="24"/>
          <w:szCs w:val="24"/>
        </w:rPr>
        <w:t>s</w:t>
      </w:r>
      <w:r>
        <w:rPr>
          <w:rFonts w:ascii="Times New Roman" w:hAnsi="Times New Roman"/>
          <w:b/>
          <w:sz w:val="24"/>
          <w:szCs w:val="24"/>
        </w:rPr>
        <w:t xml:space="preserve"> Who </w:t>
      </w:r>
      <w:r w:rsidR="0048005A">
        <w:rPr>
          <w:rFonts w:ascii="Times New Roman" w:hAnsi="Times New Roman"/>
          <w:b/>
          <w:sz w:val="24"/>
          <w:szCs w:val="24"/>
        </w:rPr>
        <w:t xml:space="preserve">May Have </w:t>
      </w:r>
      <w:r>
        <w:rPr>
          <w:rFonts w:ascii="Times New Roman" w:hAnsi="Times New Roman"/>
          <w:b/>
          <w:sz w:val="24"/>
          <w:szCs w:val="24"/>
        </w:rPr>
        <w:t xml:space="preserve">Settled </w:t>
      </w:r>
      <w:proofErr w:type="spellStart"/>
      <w:r w:rsidR="0048005A">
        <w:rPr>
          <w:rFonts w:ascii="Times New Roman" w:hAnsi="Times New Roman"/>
          <w:b/>
          <w:sz w:val="24"/>
          <w:szCs w:val="24"/>
        </w:rPr>
        <w:t>withDefendants</w:t>
      </w:r>
      <w:proofErr w:type="spellEnd"/>
      <w:r w:rsidR="0048005A">
        <w:rPr>
          <w:rFonts w:ascii="Times New Roman" w:hAnsi="Times New Roman"/>
          <w:b/>
          <w:sz w:val="24"/>
          <w:szCs w:val="24"/>
        </w:rPr>
        <w:t xml:space="preserve"> D</w:t>
      </w:r>
      <w:r>
        <w:rPr>
          <w:rFonts w:ascii="Times New Roman" w:hAnsi="Times New Roman"/>
          <w:b/>
          <w:sz w:val="24"/>
          <w:szCs w:val="24"/>
        </w:rPr>
        <w:t xml:space="preserve">oes Not Constitute </w:t>
      </w:r>
      <w:r>
        <w:rPr>
          <w:rFonts w:ascii="Times New Roman" w:hAnsi="Times New Roman"/>
          <w:b/>
          <w:sz w:val="24"/>
          <w:szCs w:val="24"/>
        </w:rPr>
        <w:lastRenderedPageBreak/>
        <w:t>“Unethical Conduct”</w:t>
      </w:r>
    </w:p>
    <w:p w:rsidR="00D61C18" w:rsidRDefault="00D61C18" w:rsidP="00D61C18">
      <w:pPr>
        <w:widowControl w:val="0"/>
        <w:ind w:firstLine="360"/>
        <w:rPr>
          <w:rFonts w:ascii="Times New Roman" w:hAnsi="Times New Roman"/>
          <w:sz w:val="24"/>
          <w:szCs w:val="24"/>
        </w:rPr>
      </w:pPr>
      <w:r>
        <w:rPr>
          <w:rFonts w:ascii="Times New Roman" w:hAnsi="Times New Roman"/>
          <w:sz w:val="24"/>
          <w:szCs w:val="24"/>
        </w:rPr>
        <w:t xml:space="preserve">Defendants use as a further basis for their accusations MLG has engaged in unethical conduct the assertion that one claim submitted to arbitration involved </w:t>
      </w:r>
      <w:r w:rsidR="00D1433F">
        <w:rPr>
          <w:rFonts w:ascii="Times New Roman" w:hAnsi="Times New Roman"/>
          <w:sz w:val="24"/>
          <w:szCs w:val="24"/>
        </w:rPr>
        <w:t>2-3</w:t>
      </w:r>
      <w:r>
        <w:rPr>
          <w:rFonts w:ascii="Times New Roman" w:hAnsi="Times New Roman"/>
          <w:sz w:val="24"/>
          <w:szCs w:val="24"/>
        </w:rPr>
        <w:t xml:space="preserve"> employee</w:t>
      </w:r>
      <w:r w:rsidR="00D1433F">
        <w:rPr>
          <w:rFonts w:ascii="Times New Roman" w:hAnsi="Times New Roman"/>
          <w:sz w:val="24"/>
          <w:szCs w:val="24"/>
        </w:rPr>
        <w:t>s (only one of which is identified by name)</w:t>
      </w:r>
      <w:r>
        <w:rPr>
          <w:rFonts w:ascii="Times New Roman" w:hAnsi="Times New Roman"/>
          <w:sz w:val="24"/>
          <w:szCs w:val="24"/>
        </w:rPr>
        <w:t xml:space="preserve"> who </w:t>
      </w:r>
      <w:r w:rsidR="00AA6668">
        <w:rPr>
          <w:rFonts w:ascii="Times New Roman" w:hAnsi="Times New Roman"/>
          <w:sz w:val="24"/>
          <w:szCs w:val="24"/>
        </w:rPr>
        <w:t>allegedly</w:t>
      </w:r>
      <w:r>
        <w:rPr>
          <w:rFonts w:ascii="Times New Roman" w:hAnsi="Times New Roman"/>
          <w:sz w:val="24"/>
          <w:szCs w:val="24"/>
        </w:rPr>
        <w:t xml:space="preserve"> signed settlement agreement</w:t>
      </w:r>
      <w:r w:rsidR="00D1433F">
        <w:rPr>
          <w:rFonts w:ascii="Times New Roman" w:hAnsi="Times New Roman"/>
          <w:sz w:val="24"/>
          <w:szCs w:val="24"/>
        </w:rPr>
        <w:t>s</w:t>
      </w:r>
      <w:r>
        <w:rPr>
          <w:rFonts w:ascii="Times New Roman" w:hAnsi="Times New Roman"/>
          <w:sz w:val="24"/>
          <w:szCs w:val="24"/>
        </w:rPr>
        <w:t xml:space="preserve"> with Defendants and claims were submitted on behalf of </w:t>
      </w:r>
      <w:r w:rsidR="00D1433F">
        <w:rPr>
          <w:rFonts w:ascii="Times New Roman" w:hAnsi="Times New Roman"/>
          <w:sz w:val="24"/>
          <w:szCs w:val="24"/>
        </w:rPr>
        <w:t xml:space="preserve"> </w:t>
      </w:r>
      <w:r>
        <w:rPr>
          <w:rFonts w:ascii="Times New Roman" w:hAnsi="Times New Roman"/>
          <w:sz w:val="24"/>
          <w:szCs w:val="24"/>
        </w:rPr>
        <w:t>employees who provided declarations to Defendants in support of their Opposition to Plaintiffs’ Motion for Class Certification stating they have no claims.</w:t>
      </w:r>
      <w:r>
        <w:rPr>
          <w:rStyle w:val="FootnoteReference"/>
          <w:rFonts w:ascii="Times New Roman" w:hAnsi="Times New Roman"/>
          <w:sz w:val="24"/>
          <w:szCs w:val="24"/>
        </w:rPr>
        <w:footnoteReference w:id="17"/>
      </w:r>
      <w:r>
        <w:rPr>
          <w:rFonts w:ascii="Times New Roman" w:hAnsi="Times New Roman"/>
          <w:sz w:val="24"/>
          <w:szCs w:val="24"/>
        </w:rPr>
        <w:t xml:space="preserve">  This alleged conduct is not unethical in any way.</w:t>
      </w:r>
    </w:p>
    <w:p w:rsidR="00F137F7" w:rsidRDefault="00D61C18" w:rsidP="00D61C18">
      <w:pPr>
        <w:widowControl w:val="0"/>
        <w:rPr>
          <w:rFonts w:ascii="Times New Roman" w:hAnsi="Times New Roman"/>
          <w:sz w:val="24"/>
          <w:szCs w:val="24"/>
        </w:rPr>
      </w:pPr>
      <w:r>
        <w:rPr>
          <w:rFonts w:ascii="Times New Roman" w:hAnsi="Times New Roman"/>
          <w:sz w:val="24"/>
          <w:szCs w:val="24"/>
        </w:rPr>
        <w:tab/>
        <w:t>As set forth above MLG had the duty to advise and preserve possible claims on behalf of the class members compelled to arbitration.  Although Defendants claim class member Daniel Lopez signed a settlement agreement waiving his wage claims, MLG has never been provided a copy of that settlement agreement to analyze whether or not Defendants assertions are accurate.</w:t>
      </w:r>
      <w:r w:rsidR="005B5FD6">
        <w:rPr>
          <w:rStyle w:val="FootnoteReference"/>
          <w:rFonts w:ascii="Times New Roman" w:hAnsi="Times New Roman"/>
          <w:sz w:val="24"/>
          <w:szCs w:val="24"/>
        </w:rPr>
        <w:footnoteReference w:id="18"/>
      </w:r>
      <w:r>
        <w:rPr>
          <w:rFonts w:ascii="Times New Roman" w:hAnsi="Times New Roman"/>
          <w:sz w:val="24"/>
          <w:szCs w:val="24"/>
        </w:rPr>
        <w:t xml:space="preserve">  </w:t>
      </w:r>
      <w:r w:rsidR="00F137F7">
        <w:rPr>
          <w:rFonts w:ascii="Times New Roman" w:hAnsi="Times New Roman"/>
          <w:sz w:val="24"/>
          <w:szCs w:val="24"/>
        </w:rPr>
        <w:t xml:space="preserve">A review of the settlement agreement may reveal certain claims at issue have not been waived. </w:t>
      </w:r>
      <w:r w:rsidR="005B5FD6">
        <w:rPr>
          <w:rFonts w:ascii="Times New Roman" w:hAnsi="Times New Roman"/>
          <w:i/>
          <w:sz w:val="24"/>
          <w:szCs w:val="24"/>
        </w:rPr>
        <w:t xml:space="preserve">Id. </w:t>
      </w:r>
      <w:r w:rsidR="00F137F7">
        <w:rPr>
          <w:rFonts w:ascii="Times New Roman" w:hAnsi="Times New Roman"/>
          <w:sz w:val="24"/>
          <w:szCs w:val="24"/>
        </w:rPr>
        <w:t xml:space="preserve"> If Mr. Lopez continued to work for Defendants after signing a settlement agreement, he could still have viable claims.  And then there is the question of whether a settlement involving these claims actually exists.  Certainly it would be a violation of MLG’s duty owed to Mr. Lopez if it had just taken Defendants’ word for it and dismissed his claims.</w:t>
      </w:r>
    </w:p>
    <w:p w:rsidR="00347FD8" w:rsidRDefault="00F137F7" w:rsidP="00D61C18">
      <w:pPr>
        <w:widowControl w:val="0"/>
        <w:rPr>
          <w:rFonts w:ascii="Times New Roman" w:hAnsi="Times New Roman"/>
          <w:sz w:val="24"/>
          <w:szCs w:val="24"/>
        </w:rPr>
      </w:pPr>
      <w:r>
        <w:rPr>
          <w:rFonts w:ascii="Times New Roman" w:hAnsi="Times New Roman"/>
          <w:sz w:val="24"/>
          <w:szCs w:val="24"/>
        </w:rPr>
        <w:tab/>
        <w:t xml:space="preserve">With regard to the class members who submitted “happy camper” declarations in opposition to certification, it is well established that </w:t>
      </w:r>
      <w:r w:rsidR="00257926">
        <w:rPr>
          <w:rFonts w:ascii="Times New Roman" w:hAnsi="Times New Roman"/>
          <w:sz w:val="24"/>
          <w:szCs w:val="24"/>
        </w:rPr>
        <w:t xml:space="preserve">a court is advised to scrutinize closely declarations from currently employed class members as there is a “heightened potential for coercion because where the absent class member and the defendant are involved in an ongoing business relationship, such as employer and employee, any communications are more likely to be coercive.”  </w:t>
      </w:r>
      <w:r w:rsidR="00257926">
        <w:rPr>
          <w:rFonts w:ascii="Times New Roman" w:hAnsi="Times New Roman"/>
          <w:i/>
          <w:sz w:val="24"/>
          <w:szCs w:val="24"/>
        </w:rPr>
        <w:t xml:space="preserve">Mevorah v. Wells Fargo Home Mtg. </w:t>
      </w:r>
      <w:r w:rsidR="00257926">
        <w:rPr>
          <w:rFonts w:ascii="Times New Roman" w:hAnsi="Times New Roman"/>
          <w:sz w:val="24"/>
          <w:szCs w:val="24"/>
        </w:rPr>
        <w:t xml:space="preserve">(N.D.Cal.2005) 2005 WL 4813532 *4.  Again, whether or not these declarants understood the nature of the claims and allegations in the complaint and whether they were fully informed of the legal arguments to be made in this case before making that statement would affect whether these statements constituted a waiver of </w:t>
      </w:r>
      <w:r w:rsidR="00257926">
        <w:rPr>
          <w:rFonts w:ascii="Times New Roman" w:hAnsi="Times New Roman"/>
          <w:sz w:val="24"/>
          <w:szCs w:val="24"/>
        </w:rPr>
        <w:lastRenderedPageBreak/>
        <w:t>claims.  This would be yet another issue to address with the arbitrator.</w:t>
      </w:r>
    </w:p>
    <w:p w:rsidR="00347FD8" w:rsidRPr="00347FD8" w:rsidRDefault="00347FD8" w:rsidP="00347FD8">
      <w:pPr>
        <w:pStyle w:val="ListParagraph"/>
        <w:widowControl w:val="0"/>
        <w:numPr>
          <w:ilvl w:val="0"/>
          <w:numId w:val="13"/>
        </w:numPr>
        <w:rPr>
          <w:rFonts w:ascii="Times New Roman" w:hAnsi="Times New Roman"/>
          <w:b/>
          <w:sz w:val="24"/>
          <w:szCs w:val="24"/>
        </w:rPr>
      </w:pPr>
      <w:r>
        <w:rPr>
          <w:rFonts w:ascii="Times New Roman" w:hAnsi="Times New Roman"/>
          <w:b/>
          <w:sz w:val="24"/>
          <w:szCs w:val="24"/>
        </w:rPr>
        <w:t xml:space="preserve">Ms. Harding’s Arbitration Proceedings Were Withdrawn Immediately Upon </w:t>
      </w:r>
      <w:r w:rsidRPr="00347FD8">
        <w:rPr>
          <w:rFonts w:ascii="Times New Roman" w:hAnsi="Times New Roman"/>
          <w:b/>
          <w:i/>
          <w:sz w:val="24"/>
          <w:szCs w:val="24"/>
        </w:rPr>
        <w:t>Her</w:t>
      </w:r>
      <w:r>
        <w:rPr>
          <w:rFonts w:ascii="Times New Roman" w:hAnsi="Times New Roman"/>
          <w:b/>
          <w:sz w:val="24"/>
          <w:szCs w:val="24"/>
        </w:rPr>
        <w:t xml:space="preserve"> Request</w:t>
      </w:r>
    </w:p>
    <w:p w:rsidR="00347FD8" w:rsidRDefault="00D1433F" w:rsidP="00D1433F">
      <w:pPr>
        <w:widowControl w:val="0"/>
        <w:ind w:firstLine="360"/>
        <w:rPr>
          <w:rFonts w:ascii="Times New Roman" w:hAnsi="Times New Roman"/>
          <w:sz w:val="24"/>
          <w:szCs w:val="24"/>
        </w:rPr>
      </w:pPr>
      <w:r>
        <w:rPr>
          <w:rFonts w:ascii="Times New Roman" w:hAnsi="Times New Roman"/>
          <w:sz w:val="24"/>
          <w:szCs w:val="24"/>
        </w:rPr>
        <w:t>MLG immediately withdrew the claim in arbitration for Ms. Harding upon receipt of a written request from her to do so.  Although Ms. Harding knew the claim had been filed on her behalf since January 2016, she failed to request the claim be withdrawn until 5 months later on June 16, 2016.</w:t>
      </w:r>
      <w:r>
        <w:rPr>
          <w:rStyle w:val="FootnoteReference"/>
          <w:rFonts w:ascii="Times New Roman" w:hAnsi="Times New Roman"/>
          <w:sz w:val="24"/>
          <w:szCs w:val="24"/>
        </w:rPr>
        <w:footnoteReference w:id="19"/>
      </w:r>
      <w:r>
        <w:rPr>
          <w:rFonts w:ascii="Times New Roman" w:hAnsi="Times New Roman"/>
          <w:sz w:val="24"/>
          <w:szCs w:val="24"/>
        </w:rPr>
        <w:t xml:space="preserve">   MLG made several attempts to reach Ms. Harding to verify statements being made by Defendants in pleadings and during hearings accurately reflected her wishes, but she failed to respond until June 16, 2016.</w:t>
      </w:r>
      <w:r>
        <w:rPr>
          <w:rStyle w:val="FootnoteReference"/>
          <w:rFonts w:ascii="Times New Roman" w:hAnsi="Times New Roman"/>
          <w:sz w:val="24"/>
          <w:szCs w:val="24"/>
        </w:rPr>
        <w:footnoteReference w:id="20"/>
      </w:r>
      <w:r>
        <w:rPr>
          <w:rFonts w:ascii="Times New Roman" w:hAnsi="Times New Roman"/>
          <w:sz w:val="24"/>
          <w:szCs w:val="24"/>
        </w:rPr>
        <w:t xml:space="preserve">  Again, MLG would breach its duty owned to Ms. Harding if it failed to confirm she wanted to withdraw her claim.  This is not an </w:t>
      </w:r>
      <w:r w:rsidR="0048005A">
        <w:rPr>
          <w:rFonts w:ascii="Times New Roman" w:hAnsi="Times New Roman"/>
          <w:sz w:val="24"/>
          <w:szCs w:val="24"/>
        </w:rPr>
        <w:t>appropriate</w:t>
      </w:r>
      <w:r>
        <w:rPr>
          <w:rFonts w:ascii="Times New Roman" w:hAnsi="Times New Roman"/>
          <w:sz w:val="24"/>
          <w:szCs w:val="24"/>
        </w:rPr>
        <w:t xml:space="preserve"> basis for disqualification.</w:t>
      </w:r>
    </w:p>
    <w:p w:rsidR="00CD3A24" w:rsidRPr="00347FD8" w:rsidRDefault="00D1433F" w:rsidP="00D1433F">
      <w:pPr>
        <w:widowControl w:val="0"/>
        <w:rPr>
          <w:rFonts w:ascii="Times New Roman" w:hAnsi="Times New Roman"/>
          <w:sz w:val="24"/>
          <w:szCs w:val="24"/>
        </w:rPr>
      </w:pPr>
      <w:r>
        <w:rPr>
          <w:rFonts w:ascii="Times New Roman" w:hAnsi="Times New Roman"/>
          <w:sz w:val="24"/>
          <w:szCs w:val="24"/>
        </w:rPr>
        <w:tab/>
        <w:t xml:space="preserve">In addition, other </w:t>
      </w:r>
      <w:r w:rsidR="007521E0">
        <w:rPr>
          <w:rFonts w:ascii="Times New Roman" w:hAnsi="Times New Roman"/>
          <w:sz w:val="24"/>
          <w:szCs w:val="24"/>
        </w:rPr>
        <w:t>former class members want to proceed with their claims in whatever forum possible, including in arbitration.</w:t>
      </w:r>
      <w:r w:rsidR="007521E0">
        <w:rPr>
          <w:rStyle w:val="FootnoteReference"/>
          <w:rFonts w:ascii="Times New Roman" w:hAnsi="Times New Roman"/>
          <w:sz w:val="24"/>
          <w:szCs w:val="24"/>
        </w:rPr>
        <w:footnoteReference w:id="21"/>
      </w:r>
      <w:r w:rsidR="007521E0">
        <w:rPr>
          <w:rFonts w:ascii="Times New Roman" w:hAnsi="Times New Roman"/>
          <w:sz w:val="24"/>
          <w:szCs w:val="24"/>
        </w:rPr>
        <w:t xml:space="preserve">  Their claims would have been waived and/or possibly tolled if MLG did not take the necessary steps to preserve their rights as it was required to do.  And while Ms. Harding is fortunate enough to have been able to afford the $300 ADR fee if she had proceeding in arbitration, other employees are not so fortunate.</w:t>
      </w:r>
      <w:r w:rsidR="007521E0">
        <w:rPr>
          <w:rStyle w:val="FootnoteReference"/>
          <w:rFonts w:ascii="Times New Roman" w:hAnsi="Times New Roman"/>
          <w:sz w:val="24"/>
          <w:szCs w:val="24"/>
        </w:rPr>
        <w:footnoteReference w:id="22"/>
      </w:r>
      <w:r w:rsidR="007521E0">
        <w:rPr>
          <w:rFonts w:ascii="Times New Roman" w:hAnsi="Times New Roman"/>
          <w:sz w:val="24"/>
          <w:szCs w:val="24"/>
        </w:rPr>
        <w:t xml:space="preserve">  As set forth in detail in Plaintiffs’ and Arbitration Class Members’ Motion to Require Defendants to Elect to Pay Arbitration Initiation Fees or Reinstate Individuals Compelled to Arbitration As Class Members, the inability of even a few </w:t>
      </w:r>
      <w:r w:rsidR="0048005A">
        <w:rPr>
          <w:rFonts w:ascii="Times New Roman" w:hAnsi="Times New Roman"/>
          <w:sz w:val="24"/>
          <w:szCs w:val="24"/>
        </w:rPr>
        <w:t>individuals</w:t>
      </w:r>
      <w:r w:rsidR="007521E0">
        <w:rPr>
          <w:rFonts w:ascii="Times New Roman" w:hAnsi="Times New Roman"/>
          <w:sz w:val="24"/>
          <w:szCs w:val="24"/>
        </w:rPr>
        <w:t xml:space="preserve"> to pay the cost of arbitration enables the Court to reinstate these individuals back into the class.  Obviously Plaintiffs’ pending motion could have some influence on why this Motion to Disqualify was brought at this time.</w:t>
      </w:r>
    </w:p>
    <w:p w:rsidR="0050166F" w:rsidRPr="0050166F" w:rsidRDefault="0050166F" w:rsidP="0050166F">
      <w:pPr>
        <w:pStyle w:val="ListParagraph"/>
        <w:widowControl w:val="0"/>
        <w:numPr>
          <w:ilvl w:val="0"/>
          <w:numId w:val="9"/>
        </w:numPr>
        <w:rPr>
          <w:rFonts w:ascii="Times New Roman" w:hAnsi="Times New Roman"/>
          <w:b/>
          <w:sz w:val="24"/>
          <w:szCs w:val="24"/>
        </w:rPr>
      </w:pPr>
      <w:r w:rsidRPr="0050166F">
        <w:rPr>
          <w:rFonts w:ascii="Times New Roman" w:hAnsi="Times New Roman"/>
          <w:b/>
          <w:sz w:val="24"/>
          <w:szCs w:val="24"/>
        </w:rPr>
        <w:t>THE COURT HAS CORRECTLY ASSERTED THESE PARTICULAR ISSUES SHOULD BE RESOLVED BY AN ARBITRATOR</w:t>
      </w:r>
    </w:p>
    <w:p w:rsidR="009A316D" w:rsidRPr="009A316D" w:rsidRDefault="0050166F" w:rsidP="0050166F">
      <w:pPr>
        <w:widowControl w:val="0"/>
        <w:ind w:firstLine="360"/>
        <w:rPr>
          <w:rFonts w:ascii="Times New Roman" w:hAnsi="Times New Roman"/>
          <w:sz w:val="24"/>
          <w:szCs w:val="24"/>
        </w:rPr>
      </w:pPr>
      <w:r>
        <w:rPr>
          <w:rFonts w:ascii="Times New Roman" w:hAnsi="Times New Roman"/>
          <w:sz w:val="24"/>
          <w:szCs w:val="24"/>
        </w:rPr>
        <w:lastRenderedPageBreak/>
        <w:t xml:space="preserve">A trial court’s authority to disqualify an attorney derives from the power inherent in every court, </w:t>
      </w:r>
      <w:r w:rsidRPr="0079144D">
        <w:rPr>
          <w:rFonts w:ascii="Times New Roman" w:hAnsi="Times New Roman"/>
          <w:sz w:val="24"/>
          <w:szCs w:val="24"/>
        </w:rPr>
        <w:t xml:space="preserve">‘[t]o control in furtherance of justice, the conduct of its ministerial officers, and of all other person in any manner </w:t>
      </w:r>
      <w:r w:rsidRPr="005A16BE">
        <w:rPr>
          <w:rFonts w:ascii="Times New Roman" w:hAnsi="Times New Roman"/>
          <w:b/>
          <w:sz w:val="24"/>
          <w:szCs w:val="24"/>
        </w:rPr>
        <w:t>connected with a judicial proceeding before it</w:t>
      </w:r>
      <w:r w:rsidRPr="0079144D">
        <w:rPr>
          <w:rFonts w:ascii="Times New Roman" w:hAnsi="Times New Roman"/>
          <w:sz w:val="24"/>
          <w:szCs w:val="24"/>
        </w:rPr>
        <w:t>, in every manner pertaining thereto.” </w:t>
      </w:r>
      <w:r>
        <w:rPr>
          <w:rFonts w:ascii="Times New Roman" w:hAnsi="Times New Roman"/>
          <w:sz w:val="24"/>
          <w:szCs w:val="24"/>
        </w:rPr>
        <w:t xml:space="preserve">[emphasis added]  </w:t>
      </w:r>
      <w:r w:rsidRPr="00FE0604">
        <w:rPr>
          <w:rFonts w:ascii="Times New Roman" w:hAnsi="Times New Roman"/>
          <w:i/>
          <w:iCs/>
          <w:sz w:val="24"/>
          <w:szCs w:val="24"/>
        </w:rPr>
        <w:t>Metro-Goldwyn-Mayer. Inc. v. Tracinda Corp</w:t>
      </w:r>
      <w:r w:rsidRPr="0079144D">
        <w:rPr>
          <w:rFonts w:ascii="Times New Roman" w:hAnsi="Times New Roman"/>
          <w:sz w:val="24"/>
          <w:szCs w:val="24"/>
        </w:rPr>
        <w:t> (1995) 36 Cal.App.4th 1832, 1838 citing Code Civ. Proc. §128, subd. (a)(5</w:t>
      </w:r>
      <w:r w:rsidRPr="00892297">
        <w:rPr>
          <w:rFonts w:ascii="Times New Roman" w:hAnsi="Times New Roman"/>
          <w:sz w:val="24"/>
          <w:szCs w:val="24"/>
        </w:rPr>
        <w:t>); </w:t>
      </w:r>
      <w:r w:rsidRPr="00FE0604">
        <w:rPr>
          <w:rFonts w:ascii="Times New Roman" w:hAnsi="Times New Roman"/>
          <w:i/>
          <w:iCs/>
          <w:sz w:val="24"/>
          <w:szCs w:val="24"/>
        </w:rPr>
        <w:t>In re Complex Asbestos Litigations</w:t>
      </w:r>
      <w:r w:rsidRPr="0079144D">
        <w:rPr>
          <w:rFonts w:ascii="Times New Roman" w:hAnsi="Times New Roman"/>
          <w:sz w:val="24"/>
          <w:szCs w:val="24"/>
        </w:rPr>
        <w:t> (1991) 232 Cal.App.3d 572, 585.</w:t>
      </w:r>
      <w:r>
        <w:rPr>
          <w:rFonts w:ascii="Times New Roman" w:hAnsi="Times New Roman"/>
          <w:sz w:val="24"/>
          <w:szCs w:val="24"/>
        </w:rPr>
        <w:t xml:space="preserve">  </w:t>
      </w:r>
      <w:r w:rsidR="009A316D">
        <w:rPr>
          <w:rFonts w:ascii="Times New Roman" w:hAnsi="Times New Roman"/>
          <w:sz w:val="24"/>
          <w:szCs w:val="24"/>
        </w:rPr>
        <w:t xml:space="preserve">The party seeking disqualification bears a heavy burden and such a request must be subjected to particularly strict judicial scrutiny.  </w:t>
      </w:r>
      <w:r w:rsidR="009A316D">
        <w:rPr>
          <w:rFonts w:ascii="Times New Roman" w:hAnsi="Times New Roman"/>
          <w:i/>
          <w:sz w:val="24"/>
          <w:szCs w:val="24"/>
        </w:rPr>
        <w:t xml:space="preserve">Openwave Sys. Inc. v. Myriad France S.A.S. </w:t>
      </w:r>
      <w:r w:rsidR="009A316D">
        <w:rPr>
          <w:rFonts w:ascii="Times New Roman" w:hAnsi="Times New Roman"/>
          <w:sz w:val="24"/>
          <w:szCs w:val="24"/>
        </w:rPr>
        <w:t xml:space="preserve">(N.D.Cal. 2011) 2011 WL 1225978 * 7.  </w:t>
      </w:r>
    </w:p>
    <w:p w:rsidR="009A316D" w:rsidRDefault="0050166F" w:rsidP="0050166F">
      <w:pPr>
        <w:widowControl w:val="0"/>
        <w:ind w:firstLine="360"/>
        <w:rPr>
          <w:rFonts w:ascii="Times New Roman" w:hAnsi="Times New Roman"/>
          <w:sz w:val="24"/>
          <w:szCs w:val="24"/>
        </w:rPr>
      </w:pPr>
      <w:r>
        <w:rPr>
          <w:rFonts w:ascii="Times New Roman" w:hAnsi="Times New Roman"/>
          <w:sz w:val="24"/>
          <w:szCs w:val="24"/>
        </w:rPr>
        <w:t xml:space="preserve">The one issue lacking from Defendants’ MTD is the Court’s ability to disqualify counsel based on alleged misconduct </w:t>
      </w:r>
      <w:r>
        <w:rPr>
          <w:rFonts w:ascii="Times New Roman" w:hAnsi="Times New Roman"/>
          <w:b/>
          <w:sz w:val="24"/>
          <w:szCs w:val="24"/>
        </w:rPr>
        <w:t>in a proceeding in another jurisdiction</w:t>
      </w:r>
      <w:r>
        <w:rPr>
          <w:rFonts w:ascii="Times New Roman" w:hAnsi="Times New Roman"/>
          <w:sz w:val="24"/>
          <w:szCs w:val="24"/>
        </w:rPr>
        <w:t xml:space="preserve">.  </w:t>
      </w:r>
      <w:r w:rsidR="009A316D">
        <w:rPr>
          <w:rFonts w:ascii="Times New Roman" w:hAnsi="Times New Roman"/>
          <w:sz w:val="24"/>
          <w:szCs w:val="24"/>
        </w:rPr>
        <w:t xml:space="preserve">Defendants failed to establish MLG’s alleged misconduct has any impact on </w:t>
      </w:r>
      <w:r w:rsidR="009A316D">
        <w:rPr>
          <w:rFonts w:ascii="Times New Roman" w:hAnsi="Times New Roman"/>
          <w:i/>
          <w:sz w:val="24"/>
          <w:szCs w:val="24"/>
        </w:rPr>
        <w:t xml:space="preserve">this </w:t>
      </w:r>
      <w:r w:rsidR="009A316D">
        <w:rPr>
          <w:rFonts w:ascii="Times New Roman" w:hAnsi="Times New Roman"/>
          <w:sz w:val="24"/>
          <w:szCs w:val="24"/>
        </w:rPr>
        <w:t>action.</w:t>
      </w:r>
      <w:r w:rsidR="0016677E">
        <w:rPr>
          <w:rFonts w:ascii="Times New Roman" w:hAnsi="Times New Roman"/>
          <w:sz w:val="24"/>
          <w:szCs w:val="24"/>
        </w:rPr>
        <w:t xml:space="preserve">  Their entire argument rests on alleged facts relating to arbitration proceedings and not the impending trial in this case.  Therefore, the proper place for this argument, if there is one, is in arbitration.</w:t>
      </w:r>
    </w:p>
    <w:p w:rsidR="0050166F" w:rsidRDefault="0050166F" w:rsidP="0050166F">
      <w:pPr>
        <w:widowControl w:val="0"/>
        <w:ind w:firstLine="360"/>
        <w:rPr>
          <w:rFonts w:ascii="Times New Roman" w:hAnsi="Times New Roman"/>
          <w:sz w:val="24"/>
          <w:szCs w:val="24"/>
        </w:rPr>
      </w:pPr>
      <w:r>
        <w:rPr>
          <w:rFonts w:ascii="Times New Roman" w:hAnsi="Times New Roman"/>
          <w:sz w:val="24"/>
          <w:szCs w:val="24"/>
        </w:rPr>
        <w:t xml:space="preserve">The Court determines whether or not there is a valid agreement to arbitrate.  </w:t>
      </w:r>
      <w:r>
        <w:rPr>
          <w:rFonts w:ascii="Times New Roman" w:hAnsi="Times New Roman"/>
          <w:i/>
          <w:sz w:val="24"/>
          <w:szCs w:val="24"/>
        </w:rPr>
        <w:t xml:space="preserve">Yuen v. Superior Court </w:t>
      </w:r>
      <w:r>
        <w:rPr>
          <w:rFonts w:ascii="Times New Roman" w:hAnsi="Times New Roman"/>
          <w:sz w:val="24"/>
          <w:szCs w:val="24"/>
        </w:rPr>
        <w:t>(2004) 121 Cal.App.4</w:t>
      </w:r>
      <w:r w:rsidRPr="00716E43">
        <w:rPr>
          <w:rFonts w:ascii="Times New Roman" w:hAnsi="Times New Roman"/>
          <w:sz w:val="24"/>
          <w:szCs w:val="24"/>
          <w:vertAlign w:val="superscript"/>
        </w:rPr>
        <w:t>th</w:t>
      </w:r>
      <w:r>
        <w:rPr>
          <w:rFonts w:ascii="Times New Roman" w:hAnsi="Times New Roman"/>
          <w:sz w:val="24"/>
          <w:szCs w:val="24"/>
        </w:rPr>
        <w:t xml:space="preserve"> 1133, 1138.  “[O]nce a matter has been referred to arbitration, the court’s involvement is strictly limited until the arbitration is completed.”  </w:t>
      </w:r>
      <w:r>
        <w:rPr>
          <w:rFonts w:ascii="Times New Roman" w:hAnsi="Times New Roman"/>
          <w:i/>
          <w:sz w:val="24"/>
          <w:szCs w:val="24"/>
        </w:rPr>
        <w:t xml:space="preserve">Finley v. Saturn of Roseville </w:t>
      </w:r>
      <w:r>
        <w:rPr>
          <w:rFonts w:ascii="Times New Roman" w:hAnsi="Times New Roman"/>
          <w:sz w:val="24"/>
          <w:szCs w:val="24"/>
        </w:rPr>
        <w:t>(2004) 117 Cal.App.4</w:t>
      </w:r>
      <w:r w:rsidRPr="0084383D">
        <w:rPr>
          <w:rFonts w:ascii="Times New Roman" w:hAnsi="Times New Roman"/>
          <w:sz w:val="24"/>
          <w:szCs w:val="24"/>
          <w:vertAlign w:val="superscript"/>
        </w:rPr>
        <w:t>th</w:t>
      </w:r>
      <w:r>
        <w:rPr>
          <w:rFonts w:ascii="Times New Roman" w:hAnsi="Times New Roman"/>
          <w:sz w:val="24"/>
          <w:szCs w:val="24"/>
        </w:rPr>
        <w:t xml:space="preserve"> 1253, 1259.  The court does retail vestigial jurisdiction which consists of making the determination, upon conclusion of arbitration, whether an award on the merits should be dismissed or not.  </w:t>
      </w:r>
      <w:r>
        <w:rPr>
          <w:rFonts w:ascii="Times New Roman" w:hAnsi="Times New Roman"/>
          <w:i/>
          <w:sz w:val="24"/>
          <w:szCs w:val="24"/>
        </w:rPr>
        <w:t xml:space="preserve">Finley supra </w:t>
      </w:r>
      <w:r>
        <w:rPr>
          <w:rFonts w:ascii="Times New Roman" w:hAnsi="Times New Roman"/>
          <w:sz w:val="24"/>
          <w:szCs w:val="24"/>
        </w:rPr>
        <w:t xml:space="preserve">at 1258.  Of course, as Plaintiffs argued in their Motion to Reinstate arbitration class members, the Court also has the authority to reconsider its order compelling arbitration. </w:t>
      </w:r>
      <w:r>
        <w:rPr>
          <w:rFonts w:ascii="Times New Roman" w:hAnsi="Times New Roman"/>
          <w:i/>
          <w:sz w:val="24"/>
          <w:szCs w:val="24"/>
        </w:rPr>
        <w:t xml:space="preserve">Pinela v. Neiman Marcus Group </w:t>
      </w:r>
      <w:r>
        <w:rPr>
          <w:rFonts w:ascii="Times New Roman" w:hAnsi="Times New Roman"/>
          <w:sz w:val="24"/>
          <w:szCs w:val="24"/>
        </w:rPr>
        <w:t>(2015) 238 Cal.App.4</w:t>
      </w:r>
      <w:r w:rsidRPr="00716E43">
        <w:rPr>
          <w:rFonts w:ascii="Times New Roman" w:hAnsi="Times New Roman"/>
          <w:sz w:val="24"/>
          <w:szCs w:val="24"/>
          <w:vertAlign w:val="superscript"/>
        </w:rPr>
        <w:t>th</w:t>
      </w:r>
      <w:r>
        <w:rPr>
          <w:rFonts w:ascii="Times New Roman" w:hAnsi="Times New Roman"/>
          <w:sz w:val="24"/>
          <w:szCs w:val="24"/>
        </w:rPr>
        <w:t xml:space="preserve"> 227, 237.  The arbitrator is “authorized to determine all questions for which he [or she] needs to determine in order to resolve the controversy submitted to him [or her], and the arbitrator himself [or herself] decides which questions need to be determined.”  </w:t>
      </w:r>
      <w:r>
        <w:rPr>
          <w:rFonts w:ascii="Times New Roman" w:hAnsi="Times New Roman"/>
          <w:i/>
          <w:sz w:val="24"/>
          <w:szCs w:val="24"/>
        </w:rPr>
        <w:t xml:space="preserve">Van Tassel v. Superior Court </w:t>
      </w:r>
      <w:r>
        <w:rPr>
          <w:rFonts w:ascii="Times New Roman" w:hAnsi="Times New Roman"/>
          <w:sz w:val="24"/>
          <w:szCs w:val="24"/>
        </w:rPr>
        <w:t>(1974) 12 Cal.3d 624, 627.  In fact, Defendants own arbitration agreement imparts on the arbitrator the authority to decide the very motion they have brought:</w:t>
      </w:r>
    </w:p>
    <w:p w:rsidR="0050166F" w:rsidRDefault="0050166F" w:rsidP="0050166F">
      <w:pPr>
        <w:widowControl w:val="0"/>
        <w:spacing w:line="240" w:lineRule="auto"/>
        <w:ind w:left="720"/>
        <w:contextualSpacing/>
        <w:rPr>
          <w:rFonts w:ascii="Times New Roman" w:hAnsi="Times New Roman"/>
          <w:sz w:val="24"/>
          <w:szCs w:val="24"/>
        </w:rPr>
      </w:pPr>
      <w:r>
        <w:rPr>
          <w:rFonts w:ascii="Times New Roman" w:hAnsi="Times New Roman"/>
          <w:sz w:val="24"/>
          <w:szCs w:val="24"/>
        </w:rPr>
        <w:t xml:space="preserve">“The arbitrator(s) selected shall have the authority to resolve any dispute relating to the interpretation, applicability or enforceability of this policy…The arbitrator(s) will have </w:t>
      </w:r>
      <w:r>
        <w:rPr>
          <w:rFonts w:ascii="Times New Roman" w:hAnsi="Times New Roman"/>
          <w:sz w:val="24"/>
          <w:szCs w:val="24"/>
        </w:rPr>
        <w:lastRenderedPageBreak/>
        <w:t>the authority to rant any appropriate remedy, whether legal or equitable, so long as that remedy would be authorized in a court of law based upon the asserted claims for relief.”</w:t>
      </w:r>
      <w:r>
        <w:rPr>
          <w:rStyle w:val="FootnoteReference"/>
          <w:rFonts w:ascii="Times New Roman" w:hAnsi="Times New Roman"/>
          <w:sz w:val="24"/>
          <w:szCs w:val="24"/>
        </w:rPr>
        <w:footnoteReference w:id="23"/>
      </w:r>
    </w:p>
    <w:p w:rsidR="0050166F" w:rsidRPr="004164E4" w:rsidRDefault="0050166F" w:rsidP="0050166F">
      <w:pPr>
        <w:widowControl w:val="0"/>
        <w:rPr>
          <w:rFonts w:ascii="Times New Roman" w:hAnsi="Times New Roman"/>
          <w:sz w:val="24"/>
          <w:szCs w:val="24"/>
        </w:rPr>
      </w:pPr>
      <w:r>
        <w:rPr>
          <w:rFonts w:ascii="Times New Roman" w:hAnsi="Times New Roman"/>
          <w:sz w:val="24"/>
          <w:szCs w:val="24"/>
        </w:rPr>
        <w:tab/>
        <w:t xml:space="preserve">In </w:t>
      </w:r>
      <w:r>
        <w:rPr>
          <w:rFonts w:ascii="Times New Roman" w:hAnsi="Times New Roman"/>
          <w:i/>
          <w:sz w:val="24"/>
          <w:szCs w:val="24"/>
        </w:rPr>
        <w:t xml:space="preserve">Optimal Markets, Inc. v. Salant </w:t>
      </w:r>
      <w:r>
        <w:rPr>
          <w:rFonts w:ascii="Times New Roman" w:hAnsi="Times New Roman"/>
          <w:sz w:val="24"/>
          <w:szCs w:val="24"/>
        </w:rPr>
        <w:t>(2013) 221Cal.App. 4</w:t>
      </w:r>
      <w:r w:rsidRPr="009F0320">
        <w:rPr>
          <w:rFonts w:ascii="Times New Roman" w:hAnsi="Times New Roman"/>
          <w:sz w:val="24"/>
          <w:szCs w:val="24"/>
          <w:vertAlign w:val="superscript"/>
        </w:rPr>
        <w:t>th</w:t>
      </w:r>
      <w:r>
        <w:rPr>
          <w:rFonts w:ascii="Times New Roman" w:hAnsi="Times New Roman"/>
          <w:sz w:val="24"/>
          <w:szCs w:val="24"/>
        </w:rPr>
        <w:t xml:space="preserve"> 912, the court found the Superior Court had no power to consider and award sanctions for actions by an attorney in the arbit</w:t>
      </w:r>
      <w:r w:rsidR="0048005A">
        <w:rPr>
          <w:rFonts w:ascii="Times New Roman" w:hAnsi="Times New Roman"/>
          <w:sz w:val="24"/>
          <w:szCs w:val="24"/>
        </w:rPr>
        <w:t>ration</w:t>
      </w:r>
      <w:r>
        <w:rPr>
          <w:rFonts w:ascii="Times New Roman" w:hAnsi="Times New Roman"/>
          <w:sz w:val="24"/>
          <w:szCs w:val="24"/>
        </w:rPr>
        <w:t xml:space="preserve"> forum.  </w:t>
      </w:r>
      <w:r>
        <w:rPr>
          <w:rFonts w:ascii="Times New Roman" w:hAnsi="Times New Roman"/>
          <w:i/>
          <w:sz w:val="24"/>
          <w:szCs w:val="24"/>
        </w:rPr>
        <w:t xml:space="preserve">Id. </w:t>
      </w:r>
      <w:r>
        <w:rPr>
          <w:rFonts w:ascii="Times New Roman" w:hAnsi="Times New Roman"/>
          <w:sz w:val="24"/>
          <w:szCs w:val="24"/>
        </w:rPr>
        <w:t>at 910.  That is precisely what Defendants ask this Court to do now.  None of the facts upon which Defendants’ motion rests occurred in the Superior Court action.  All of the alleged acts occurred in connection with the arbitration proceedings and Defendants have failed to make any argument that Class Counsels’ alleged actions in any way impact the action pending in superior Court.  Since the Court lacks jurisdiction to consider and grant the relief requested by Defendants, their Motion should be denied.</w:t>
      </w:r>
    </w:p>
    <w:p w:rsidR="0050166F" w:rsidRDefault="0050166F" w:rsidP="0050166F">
      <w:pPr>
        <w:pStyle w:val="ListParagraph"/>
        <w:widowControl w:val="0"/>
        <w:numPr>
          <w:ilvl w:val="0"/>
          <w:numId w:val="15"/>
        </w:numPr>
        <w:rPr>
          <w:rFonts w:ascii="Times New Roman" w:hAnsi="Times New Roman"/>
          <w:sz w:val="24"/>
          <w:szCs w:val="24"/>
        </w:rPr>
      </w:pPr>
      <w:r>
        <w:rPr>
          <w:rFonts w:ascii="Times New Roman" w:hAnsi="Times New Roman"/>
          <w:b/>
          <w:sz w:val="24"/>
          <w:szCs w:val="24"/>
        </w:rPr>
        <w:t>Neither the Court Nor the Arbitrator Has the Authority To Order What Defendants Demand</w:t>
      </w:r>
    </w:p>
    <w:p w:rsidR="000A6FBB" w:rsidRDefault="0050166F" w:rsidP="0050166F">
      <w:pPr>
        <w:widowControl w:val="0"/>
        <w:ind w:firstLine="720"/>
        <w:rPr>
          <w:rFonts w:ascii="Times New Roman" w:hAnsi="Times New Roman"/>
          <w:sz w:val="24"/>
          <w:szCs w:val="24"/>
        </w:rPr>
      </w:pPr>
      <w:r w:rsidRPr="0050166F">
        <w:rPr>
          <w:rFonts w:ascii="Times New Roman" w:hAnsi="Times New Roman"/>
          <w:sz w:val="24"/>
          <w:szCs w:val="24"/>
        </w:rPr>
        <w:t xml:space="preserve">Defendants </w:t>
      </w:r>
      <w:r>
        <w:rPr>
          <w:rFonts w:ascii="Times New Roman" w:hAnsi="Times New Roman"/>
          <w:sz w:val="24"/>
          <w:szCs w:val="24"/>
        </w:rPr>
        <w:t>have on several occasions, the latest being in this motion,</w:t>
      </w:r>
      <w:r w:rsidRPr="0050166F">
        <w:rPr>
          <w:rFonts w:ascii="Times New Roman" w:hAnsi="Times New Roman"/>
          <w:sz w:val="24"/>
          <w:szCs w:val="24"/>
        </w:rPr>
        <w:t xml:space="preserve"> demanded (improperly) that Class Counsel submit to ADR court fee waiver applications and the identities of each individual represented by MLG so the arbitrator could resolve this dispute.</w:t>
      </w:r>
      <w:r>
        <w:rPr>
          <w:rStyle w:val="FootnoteReference"/>
          <w:rFonts w:ascii="Times New Roman" w:hAnsi="Times New Roman"/>
          <w:sz w:val="24"/>
          <w:szCs w:val="24"/>
        </w:rPr>
        <w:footnoteReference w:id="24"/>
      </w:r>
      <w:r w:rsidRPr="0050166F">
        <w:rPr>
          <w:rFonts w:ascii="Times New Roman" w:hAnsi="Times New Roman"/>
          <w:sz w:val="24"/>
          <w:szCs w:val="24"/>
        </w:rPr>
        <w:t xml:space="preserve">  </w:t>
      </w:r>
      <w:r w:rsidR="000A6FBB">
        <w:rPr>
          <w:rFonts w:ascii="Times New Roman" w:hAnsi="Times New Roman"/>
          <w:sz w:val="24"/>
          <w:szCs w:val="24"/>
        </w:rPr>
        <w:t xml:space="preserve">First, it is improper for </w:t>
      </w:r>
      <w:r>
        <w:rPr>
          <w:rFonts w:ascii="Times New Roman" w:hAnsi="Times New Roman"/>
          <w:sz w:val="24"/>
          <w:szCs w:val="24"/>
        </w:rPr>
        <w:t>Defendants to dictate what information ADR requires to resolve disputes as by express agreement, those issues are left to the</w:t>
      </w:r>
      <w:r w:rsidR="000A6FBB">
        <w:rPr>
          <w:rFonts w:ascii="Times New Roman" w:hAnsi="Times New Roman"/>
          <w:sz w:val="24"/>
          <w:szCs w:val="24"/>
        </w:rPr>
        <w:t xml:space="preserve"> arbitrator.  Second, both demands for information by Defendants are prohibited by law.</w:t>
      </w:r>
    </w:p>
    <w:p w:rsidR="00F12915" w:rsidRDefault="000A6FBB" w:rsidP="00F12915">
      <w:pPr>
        <w:pStyle w:val="Signatureblockline"/>
        <w:tabs>
          <w:tab w:val="clear" w:pos="9360"/>
          <w:tab w:val="left" w:leader="underscore" w:pos="0"/>
        </w:tabs>
        <w:spacing w:line="455" w:lineRule="exact"/>
        <w:ind w:left="0" w:right="86"/>
        <w:jc w:val="both"/>
        <w:rPr>
          <w:rFonts w:ascii="Times New Roman" w:hAnsi="Times New Roman"/>
          <w:sz w:val="24"/>
          <w:szCs w:val="24"/>
        </w:rPr>
      </w:pPr>
      <w:r>
        <w:rPr>
          <w:rFonts w:ascii="Times New Roman" w:hAnsi="Times New Roman"/>
          <w:sz w:val="24"/>
          <w:szCs w:val="24"/>
        </w:rPr>
        <w:tab/>
      </w:r>
      <w:r w:rsidR="00F12915">
        <w:rPr>
          <w:rFonts w:ascii="Times New Roman" w:hAnsi="Times New Roman"/>
          <w:sz w:val="24"/>
          <w:szCs w:val="24"/>
        </w:rPr>
        <w:t>D</w:t>
      </w:r>
      <w:r w:rsidR="00F12915" w:rsidRPr="00C9206C">
        <w:rPr>
          <w:rFonts w:ascii="Times New Roman" w:hAnsi="Times New Roman"/>
          <w:sz w:val="24"/>
          <w:szCs w:val="24"/>
        </w:rPr>
        <w:t xml:space="preserve">iscovery of the names of individuals </w:t>
      </w:r>
      <w:r w:rsidR="00F12915">
        <w:rPr>
          <w:rFonts w:ascii="Times New Roman" w:hAnsi="Times New Roman"/>
          <w:sz w:val="24"/>
          <w:szCs w:val="24"/>
        </w:rPr>
        <w:t xml:space="preserve">represented by an attorney </w:t>
      </w:r>
      <w:r w:rsidR="00F12915" w:rsidRPr="00C9206C">
        <w:rPr>
          <w:rFonts w:ascii="Times New Roman" w:hAnsi="Times New Roman"/>
          <w:sz w:val="24"/>
          <w:szCs w:val="24"/>
        </w:rPr>
        <w:t xml:space="preserve">is protected under the attorney-client privilege when the identity of the person reveals something about that person. See </w:t>
      </w:r>
      <w:proofErr w:type="spellStart"/>
      <w:r w:rsidR="00F12915" w:rsidRPr="00C9206C">
        <w:rPr>
          <w:rFonts w:ascii="Times New Roman" w:hAnsi="Times New Roman"/>
          <w:i/>
          <w:sz w:val="24"/>
          <w:szCs w:val="24"/>
        </w:rPr>
        <w:t>Rosso</w:t>
      </w:r>
      <w:proofErr w:type="spellEnd"/>
      <w:r w:rsidR="00F12915" w:rsidRPr="00C9206C">
        <w:rPr>
          <w:rFonts w:ascii="Times New Roman" w:hAnsi="Times New Roman"/>
          <w:i/>
          <w:sz w:val="24"/>
          <w:szCs w:val="24"/>
        </w:rPr>
        <w:t xml:space="preserve">, Johnson, </w:t>
      </w:r>
      <w:proofErr w:type="spellStart"/>
      <w:r w:rsidR="00F12915" w:rsidRPr="00C9206C">
        <w:rPr>
          <w:rFonts w:ascii="Times New Roman" w:hAnsi="Times New Roman"/>
          <w:i/>
          <w:sz w:val="24"/>
          <w:szCs w:val="24"/>
        </w:rPr>
        <w:t>Rosso</w:t>
      </w:r>
      <w:proofErr w:type="spellEnd"/>
      <w:r w:rsidR="00F12915" w:rsidRPr="00C9206C">
        <w:rPr>
          <w:rFonts w:ascii="Times New Roman" w:hAnsi="Times New Roman"/>
          <w:i/>
          <w:sz w:val="24"/>
          <w:szCs w:val="24"/>
        </w:rPr>
        <w:t xml:space="preserve"> &amp; </w:t>
      </w:r>
      <w:proofErr w:type="spellStart"/>
      <w:r w:rsidR="00F12915" w:rsidRPr="00C9206C">
        <w:rPr>
          <w:rFonts w:ascii="Times New Roman" w:hAnsi="Times New Roman"/>
          <w:i/>
          <w:sz w:val="24"/>
          <w:szCs w:val="24"/>
        </w:rPr>
        <w:t>Ebersold</w:t>
      </w:r>
      <w:proofErr w:type="spellEnd"/>
      <w:r w:rsidR="00F12915" w:rsidRPr="00C9206C">
        <w:rPr>
          <w:rFonts w:ascii="Times New Roman" w:hAnsi="Times New Roman"/>
          <w:i/>
          <w:sz w:val="24"/>
          <w:szCs w:val="24"/>
        </w:rPr>
        <w:t xml:space="preserve"> v. Superior Court</w:t>
      </w:r>
      <w:r w:rsidR="00F12915" w:rsidRPr="00C9206C">
        <w:rPr>
          <w:rFonts w:ascii="Times New Roman" w:hAnsi="Times New Roman"/>
          <w:sz w:val="24"/>
          <w:szCs w:val="24"/>
        </w:rPr>
        <w:t xml:space="preserve"> (1987) 191 Cal. App. 3d 1514</w:t>
      </w:r>
      <w:r w:rsidR="005D2FC0">
        <w:rPr>
          <w:rFonts w:ascii="Times New Roman" w:hAnsi="Times New Roman"/>
          <w:sz w:val="24"/>
          <w:szCs w:val="24"/>
        </w:rPr>
        <w:fldChar w:fldCharType="begin"/>
      </w:r>
      <w:r w:rsidR="00F12915">
        <w:instrText xml:space="preserve"> TA \l "</w:instrText>
      </w:r>
      <w:r w:rsidR="00F12915" w:rsidRPr="00A627FD">
        <w:rPr>
          <w:rFonts w:ascii="Times New Roman" w:hAnsi="Times New Roman"/>
          <w:i/>
          <w:sz w:val="24"/>
          <w:szCs w:val="24"/>
        </w:rPr>
        <w:instrText>Rosso, Johnson, Rosso &amp; Ebersold v. Superior Court</w:instrText>
      </w:r>
      <w:r w:rsidR="00F12915" w:rsidRPr="00A627FD">
        <w:rPr>
          <w:rFonts w:ascii="Times New Roman" w:hAnsi="Times New Roman"/>
          <w:sz w:val="24"/>
          <w:szCs w:val="24"/>
        </w:rPr>
        <w:instrText xml:space="preserve"> (1987) 191 Cal. App. 3d 1514</w:instrText>
      </w:r>
      <w:r w:rsidR="00F12915">
        <w:instrText xml:space="preserve">" \s "Rosso, Johnson, Rosso &amp; Ebersold v. Superior Court (1987) 191 Cal. App. 3d 1514" \c 3 </w:instrText>
      </w:r>
      <w:r w:rsidR="005D2FC0">
        <w:rPr>
          <w:rFonts w:ascii="Times New Roman" w:hAnsi="Times New Roman"/>
          <w:sz w:val="24"/>
          <w:szCs w:val="24"/>
        </w:rPr>
        <w:fldChar w:fldCharType="end"/>
      </w:r>
      <w:r w:rsidR="00F12915" w:rsidRPr="00C9206C">
        <w:rPr>
          <w:rFonts w:ascii="Times New Roman" w:hAnsi="Times New Roman"/>
          <w:sz w:val="24"/>
          <w:szCs w:val="24"/>
        </w:rPr>
        <w:t xml:space="preserve">, 1518-19. </w:t>
      </w:r>
      <w:r w:rsidR="00F12915" w:rsidRPr="00C9206C">
        <w:rPr>
          <w:rFonts w:ascii="Times New Roman" w:hAnsi="Times New Roman"/>
          <w:i/>
          <w:sz w:val="24"/>
          <w:szCs w:val="24"/>
        </w:rPr>
        <w:t xml:space="preserve"> </w:t>
      </w:r>
      <w:r w:rsidR="00F12915" w:rsidRPr="00C9206C">
        <w:rPr>
          <w:rFonts w:ascii="Times New Roman" w:hAnsi="Times New Roman"/>
          <w:sz w:val="24"/>
          <w:szCs w:val="24"/>
        </w:rPr>
        <w:t xml:space="preserve">In this case, Defendants’ counsel is demanding Class Counsel inform them of the specific type of consent Arbitration Class Members provided to Class Counsel to proceed with arbitrations and the dates such consent was provided. However, revealing this information to Defendants with the specific identity of the Arbitration Class Member reveals the content of the </w:t>
      </w:r>
      <w:proofErr w:type="spellStart"/>
      <w:r w:rsidR="00F12915" w:rsidRPr="00C9206C">
        <w:rPr>
          <w:rFonts w:ascii="Times New Roman" w:hAnsi="Times New Roman"/>
          <w:sz w:val="24"/>
          <w:szCs w:val="24"/>
        </w:rPr>
        <w:t>coversations</w:t>
      </w:r>
      <w:proofErr w:type="spellEnd"/>
      <w:r w:rsidR="00F12915" w:rsidRPr="00C9206C">
        <w:rPr>
          <w:rFonts w:ascii="Times New Roman" w:hAnsi="Times New Roman"/>
          <w:sz w:val="24"/>
          <w:szCs w:val="24"/>
        </w:rPr>
        <w:t xml:space="preserve"> between Class Counsel and the Arbitration Class Members concerning </w:t>
      </w:r>
      <w:r w:rsidR="00F12915" w:rsidRPr="00C9206C">
        <w:rPr>
          <w:rFonts w:ascii="Times New Roman" w:hAnsi="Times New Roman"/>
          <w:sz w:val="24"/>
          <w:szCs w:val="24"/>
        </w:rPr>
        <w:lastRenderedPageBreak/>
        <w:t xml:space="preserve">consent would require revealing the contents of privileged conversations which is not permitted or required. See </w:t>
      </w:r>
      <w:r w:rsidR="00F12915" w:rsidRPr="00C9206C">
        <w:rPr>
          <w:rFonts w:ascii="Times New Roman" w:hAnsi="Times New Roman"/>
          <w:i/>
          <w:sz w:val="24"/>
          <w:szCs w:val="24"/>
        </w:rPr>
        <w:t>id.</w:t>
      </w:r>
      <w:r w:rsidR="005D2FC0">
        <w:rPr>
          <w:rFonts w:ascii="Times New Roman" w:hAnsi="Times New Roman"/>
          <w:i/>
          <w:sz w:val="24"/>
          <w:szCs w:val="24"/>
        </w:rPr>
        <w:fldChar w:fldCharType="begin"/>
      </w:r>
      <w:r w:rsidR="00F12915">
        <w:instrText xml:space="preserve"> TA \s "Rosso, Johnson, Rosso &amp; Ebersold v. Superior Court (1987) 191 Cal. App. 3d 1514" </w:instrText>
      </w:r>
      <w:r w:rsidR="005D2FC0">
        <w:rPr>
          <w:rFonts w:ascii="Times New Roman" w:hAnsi="Times New Roman"/>
          <w:i/>
          <w:sz w:val="24"/>
          <w:szCs w:val="24"/>
        </w:rPr>
        <w:fldChar w:fldCharType="end"/>
      </w:r>
      <w:r w:rsidR="00F12915">
        <w:rPr>
          <w:rFonts w:ascii="Times New Roman" w:hAnsi="Times New Roman"/>
          <w:i/>
          <w:sz w:val="24"/>
          <w:szCs w:val="24"/>
        </w:rPr>
        <w:t xml:space="preserve"> </w:t>
      </w:r>
      <w:r w:rsidR="00F12915">
        <w:rPr>
          <w:rFonts w:ascii="Times New Roman" w:hAnsi="Times New Roman"/>
          <w:sz w:val="24"/>
          <w:szCs w:val="24"/>
        </w:rPr>
        <w:t xml:space="preserve">  Again, this demand is unreasonable and contrary to established legal principles and precedence.   </w:t>
      </w:r>
      <w:r w:rsidR="00B15F1E">
        <w:rPr>
          <w:rFonts w:ascii="Times New Roman" w:hAnsi="Times New Roman"/>
          <w:sz w:val="24"/>
          <w:szCs w:val="24"/>
        </w:rPr>
        <w:t xml:space="preserve">In furtherance of the privilege, retention for services </w:t>
      </w:r>
      <w:r w:rsidR="00F12915">
        <w:rPr>
          <w:rFonts w:ascii="Times New Roman" w:hAnsi="Times New Roman"/>
          <w:sz w:val="24"/>
          <w:szCs w:val="24"/>
        </w:rPr>
        <w:t>Therefore, Defendants are not entitled to the information they seek.</w:t>
      </w:r>
    </w:p>
    <w:p w:rsidR="00F12915" w:rsidRDefault="00F12915" w:rsidP="00F12915">
      <w:pPr>
        <w:pStyle w:val="Signatureblockline"/>
        <w:tabs>
          <w:tab w:val="clear" w:pos="9360"/>
          <w:tab w:val="left" w:leader="underscore" w:pos="0"/>
        </w:tabs>
        <w:spacing w:line="455" w:lineRule="exact"/>
        <w:ind w:left="0" w:right="86"/>
        <w:jc w:val="both"/>
        <w:rPr>
          <w:rFonts w:ascii="Times New Roman" w:hAnsi="Times New Roman"/>
          <w:sz w:val="24"/>
          <w:szCs w:val="24"/>
        </w:rPr>
      </w:pPr>
      <w:r>
        <w:rPr>
          <w:rFonts w:ascii="Times New Roman" w:hAnsi="Times New Roman"/>
          <w:sz w:val="24"/>
          <w:szCs w:val="24"/>
        </w:rPr>
        <w:tab/>
        <w:t xml:space="preserve">Defendants’ other demand for fee waivers, and an opportunity to oppose such requests, is prohibited by the California Rules of Court, Rule </w:t>
      </w:r>
      <w:r w:rsidR="00227BF3">
        <w:rPr>
          <w:rFonts w:ascii="Times New Roman" w:hAnsi="Times New Roman"/>
          <w:sz w:val="24"/>
          <w:szCs w:val="24"/>
        </w:rPr>
        <w:t>3.54(a) which states:</w:t>
      </w:r>
    </w:p>
    <w:p w:rsidR="00227BF3" w:rsidRDefault="00227BF3" w:rsidP="00227BF3">
      <w:pPr>
        <w:pStyle w:val="Signatureblockline"/>
        <w:tabs>
          <w:tab w:val="clear" w:pos="9360"/>
          <w:tab w:val="left" w:leader="underscore" w:pos="0"/>
        </w:tabs>
        <w:spacing w:line="455" w:lineRule="exact"/>
        <w:ind w:left="720" w:right="86"/>
        <w:jc w:val="both"/>
        <w:rPr>
          <w:rFonts w:ascii="Times New Roman" w:hAnsi="Times New Roman"/>
          <w:sz w:val="24"/>
          <w:szCs w:val="24"/>
        </w:rPr>
      </w:pPr>
      <w:r>
        <w:rPr>
          <w:rFonts w:ascii="Times New Roman" w:hAnsi="Times New Roman"/>
          <w:sz w:val="24"/>
          <w:szCs w:val="24"/>
        </w:rPr>
        <w:t xml:space="preserve">“No person may have access to an application for an initial fee waiver </w:t>
      </w:r>
      <w:r w:rsidRPr="002400A9">
        <w:rPr>
          <w:rFonts w:ascii="Times New Roman" w:hAnsi="Times New Roman"/>
          <w:b/>
          <w:i/>
          <w:sz w:val="24"/>
          <w:szCs w:val="24"/>
        </w:rPr>
        <w:t>except for the court and authorized court personnel</w:t>
      </w:r>
      <w:r>
        <w:rPr>
          <w:rFonts w:ascii="Times New Roman" w:hAnsi="Times New Roman"/>
          <w:sz w:val="24"/>
          <w:szCs w:val="24"/>
        </w:rPr>
        <w:t xml:space="preserve"> . . . no person may reveal any information contained in the application except as authorized by law or order of the court.” Rules of Court, Rule 3.54</w:t>
      </w:r>
      <w:r w:rsidR="005D2FC0">
        <w:rPr>
          <w:rFonts w:ascii="Times New Roman" w:hAnsi="Times New Roman"/>
          <w:sz w:val="24"/>
          <w:szCs w:val="24"/>
        </w:rPr>
        <w:fldChar w:fldCharType="begin"/>
      </w:r>
      <w:r>
        <w:instrText xml:space="preserve"> TA \l "</w:instrText>
      </w:r>
      <w:r w:rsidRPr="00A627FD">
        <w:rPr>
          <w:rFonts w:ascii="Times New Roman" w:hAnsi="Times New Roman"/>
          <w:sz w:val="24"/>
          <w:szCs w:val="24"/>
        </w:rPr>
        <w:instrText>Rules of Court, Rule 3.54</w:instrText>
      </w:r>
      <w:r>
        <w:instrText xml:space="preserve">" \s "Rules of Court, Rule 3.54" \c 9 </w:instrText>
      </w:r>
      <w:r w:rsidR="005D2FC0">
        <w:rPr>
          <w:rFonts w:ascii="Times New Roman" w:hAnsi="Times New Roman"/>
          <w:sz w:val="24"/>
          <w:szCs w:val="24"/>
        </w:rPr>
        <w:fldChar w:fldCharType="end"/>
      </w:r>
      <w:r>
        <w:rPr>
          <w:rFonts w:ascii="Times New Roman" w:hAnsi="Times New Roman"/>
          <w:sz w:val="24"/>
          <w:szCs w:val="24"/>
        </w:rPr>
        <w:t>(a). (</w:t>
      </w:r>
      <w:r w:rsidRPr="002400A9">
        <w:rPr>
          <w:rFonts w:ascii="Times New Roman" w:hAnsi="Times New Roman"/>
          <w:b/>
          <w:i/>
          <w:sz w:val="24"/>
          <w:szCs w:val="24"/>
        </w:rPr>
        <w:t>emphasis added</w:t>
      </w:r>
      <w:r>
        <w:rPr>
          <w:rFonts w:ascii="Times New Roman" w:hAnsi="Times New Roman"/>
          <w:sz w:val="24"/>
          <w:szCs w:val="24"/>
        </w:rPr>
        <w:t>).”</w:t>
      </w:r>
    </w:p>
    <w:p w:rsidR="00227BF3" w:rsidRDefault="00227BF3" w:rsidP="00227BF3">
      <w:pPr>
        <w:spacing w:line="480" w:lineRule="exact"/>
        <w:ind w:right="634" w:firstLine="720"/>
        <w:contextualSpacing/>
        <w:jc w:val="both"/>
        <w:rPr>
          <w:rFonts w:ascii="Times New Roman" w:hAnsi="Times New Roman"/>
          <w:sz w:val="24"/>
          <w:szCs w:val="24"/>
        </w:rPr>
      </w:pPr>
      <w:r>
        <w:rPr>
          <w:rFonts w:ascii="Times New Roman" w:hAnsi="Times New Roman"/>
          <w:sz w:val="24"/>
          <w:szCs w:val="24"/>
        </w:rPr>
        <w:t>There is also no right for Defendant to dispute a fee waiver request.</w:t>
      </w:r>
      <w:r w:rsidR="000A6FBB">
        <w:rPr>
          <w:rFonts w:ascii="Times New Roman" w:hAnsi="Times New Roman"/>
          <w:sz w:val="24"/>
          <w:szCs w:val="24"/>
        </w:rPr>
        <w:t xml:space="preserve"> </w:t>
      </w:r>
      <w:r>
        <w:rPr>
          <w:rFonts w:ascii="Times New Roman" w:hAnsi="Times New Roman"/>
          <w:sz w:val="24"/>
          <w:szCs w:val="24"/>
        </w:rPr>
        <w:t xml:space="preserve">Because the arbitration agreement is silent on how it will be determined whether a participant is subject to a fee waiver the agreement first requires an interpretation by the arbitrator.  </w:t>
      </w:r>
      <w:r w:rsidR="00B15F1E">
        <w:rPr>
          <w:rFonts w:ascii="Times New Roman" w:hAnsi="Times New Roman"/>
          <w:sz w:val="24"/>
          <w:szCs w:val="24"/>
        </w:rPr>
        <w:t xml:space="preserve">It is clear that the $300 initiation fee is cost prohibitive to individuals who at the time they signed the arbitration agreement and today The class members sent to arbitration are further being denied access to a forum to litigate their claims because Defendants refuse to participate in any activity in arbitration that would determine what is needed for them to apply for a fee waiver.  </w:t>
      </w:r>
      <w:r>
        <w:rPr>
          <w:rFonts w:ascii="Times New Roman" w:hAnsi="Times New Roman"/>
          <w:sz w:val="24"/>
          <w:szCs w:val="24"/>
        </w:rPr>
        <w:t xml:space="preserve">Again, this is clearly a determination for the arbitrator, not the court. </w:t>
      </w:r>
    </w:p>
    <w:p w:rsidR="00DD7164" w:rsidRPr="00FC5CF9" w:rsidRDefault="000012E8" w:rsidP="00FC5CF9">
      <w:pPr>
        <w:pStyle w:val="ListParagraph"/>
        <w:widowControl w:val="0"/>
        <w:numPr>
          <w:ilvl w:val="0"/>
          <w:numId w:val="9"/>
        </w:numPr>
        <w:rPr>
          <w:rFonts w:ascii="Times New Roman" w:hAnsi="Times New Roman"/>
          <w:b/>
          <w:sz w:val="24"/>
          <w:szCs w:val="24"/>
        </w:rPr>
      </w:pPr>
      <w:r w:rsidRPr="00FC5CF9">
        <w:rPr>
          <w:rFonts w:ascii="Times New Roman" w:hAnsi="Times New Roman"/>
          <w:b/>
          <w:sz w:val="24"/>
          <w:szCs w:val="24"/>
        </w:rPr>
        <w:t>UNREASONABLE DELAY IN BRINGING THIS MOTION THAT A</w:t>
      </w:r>
      <w:r w:rsidR="0031207A" w:rsidRPr="00FC5CF9">
        <w:rPr>
          <w:rFonts w:ascii="Times New Roman" w:hAnsi="Times New Roman"/>
          <w:b/>
          <w:sz w:val="24"/>
          <w:szCs w:val="24"/>
        </w:rPr>
        <w:t xml:space="preserve">PPEARS TO HAVE A TACTICAL PURPOSE </w:t>
      </w:r>
      <w:r w:rsidR="004E078C" w:rsidRPr="00FC5CF9">
        <w:rPr>
          <w:rFonts w:ascii="Times New Roman" w:hAnsi="Times New Roman"/>
          <w:b/>
          <w:sz w:val="24"/>
          <w:szCs w:val="24"/>
        </w:rPr>
        <w:t>OF DELAYING TRIAL</w:t>
      </w:r>
      <w:r w:rsidRPr="00FC5CF9">
        <w:rPr>
          <w:rFonts w:ascii="Times New Roman" w:hAnsi="Times New Roman"/>
          <w:b/>
          <w:sz w:val="24"/>
          <w:szCs w:val="24"/>
        </w:rPr>
        <w:t xml:space="preserve"> IS A BASIS FOR DENIAL</w:t>
      </w:r>
    </w:p>
    <w:p w:rsidR="000012E8" w:rsidRDefault="000012E8" w:rsidP="00BA78DA">
      <w:pPr>
        <w:widowControl w:val="0"/>
        <w:ind w:firstLine="360"/>
        <w:rPr>
          <w:rFonts w:ascii="Times New Roman" w:hAnsi="Times New Roman"/>
          <w:sz w:val="24"/>
          <w:szCs w:val="24"/>
        </w:rPr>
      </w:pPr>
      <w:r>
        <w:rPr>
          <w:rFonts w:ascii="Times New Roman" w:hAnsi="Times New Roman"/>
          <w:sz w:val="24"/>
          <w:szCs w:val="24"/>
        </w:rPr>
        <w:t xml:space="preserve">Disqualification can be waived if it is not brought within a timely manner.  </w:t>
      </w:r>
      <w:r>
        <w:rPr>
          <w:rFonts w:ascii="Times New Roman" w:hAnsi="Times New Roman"/>
          <w:i/>
          <w:sz w:val="24"/>
          <w:szCs w:val="24"/>
        </w:rPr>
        <w:t xml:space="preserve">Liberty Nat. Enterprises, L.P. v. Chicago Title Ins. Co. </w:t>
      </w:r>
      <w:r w:rsidR="00C954A2">
        <w:rPr>
          <w:rFonts w:ascii="Times New Roman" w:hAnsi="Times New Roman"/>
          <w:sz w:val="24"/>
          <w:szCs w:val="24"/>
        </w:rPr>
        <w:t>(2011) 194 Cal.App.4</w:t>
      </w:r>
      <w:r w:rsidR="00C954A2" w:rsidRPr="00C954A2">
        <w:rPr>
          <w:rFonts w:ascii="Times New Roman" w:hAnsi="Times New Roman"/>
          <w:sz w:val="24"/>
          <w:szCs w:val="24"/>
          <w:vertAlign w:val="superscript"/>
        </w:rPr>
        <w:t>th</w:t>
      </w:r>
      <w:r w:rsidR="00C954A2">
        <w:rPr>
          <w:rFonts w:ascii="Times New Roman" w:hAnsi="Times New Roman"/>
          <w:sz w:val="24"/>
          <w:szCs w:val="24"/>
        </w:rPr>
        <w:t xml:space="preserve"> 839, 844.  Where it is shown there is an unreasonable delay causing prejudice to the party whose counsel is sought to be disqualified, the burden shifts to the moving party to justify the delay.  </w:t>
      </w:r>
      <w:r w:rsidR="00C954A2">
        <w:rPr>
          <w:rFonts w:ascii="Times New Roman" w:hAnsi="Times New Roman"/>
          <w:i/>
          <w:sz w:val="24"/>
          <w:szCs w:val="24"/>
        </w:rPr>
        <w:t xml:space="preserve">Id. </w:t>
      </w:r>
      <w:r w:rsidR="00C954A2">
        <w:rPr>
          <w:rFonts w:ascii="Times New Roman" w:hAnsi="Times New Roman"/>
          <w:sz w:val="24"/>
          <w:szCs w:val="24"/>
        </w:rPr>
        <w:t xml:space="preserve">at 845.  Delay is not measured just by the number of months, but in terms of how those months were employed in </w:t>
      </w:r>
      <w:r w:rsidR="00C954A2">
        <w:rPr>
          <w:rFonts w:ascii="Times New Roman" w:hAnsi="Times New Roman"/>
          <w:sz w:val="24"/>
          <w:szCs w:val="24"/>
        </w:rPr>
        <w:lastRenderedPageBreak/>
        <w:t xml:space="preserve">preparing for the case.  </w:t>
      </w:r>
      <w:r w:rsidR="002C4F70">
        <w:rPr>
          <w:rFonts w:ascii="Times New Roman" w:hAnsi="Times New Roman"/>
          <w:i/>
          <w:sz w:val="24"/>
          <w:szCs w:val="24"/>
        </w:rPr>
        <w:t xml:space="preserve">Openwave Sys., Inc. v. Myriad France S.A.S. </w:t>
      </w:r>
      <w:r w:rsidR="002C4F70">
        <w:rPr>
          <w:rFonts w:ascii="Times New Roman" w:hAnsi="Times New Roman"/>
          <w:sz w:val="24"/>
          <w:szCs w:val="24"/>
        </w:rPr>
        <w:t>2011 WL 1225978 *6 (N.D.Cal., Mar. 31, 2011)</w:t>
      </w:r>
      <w:r w:rsidR="006D0919">
        <w:rPr>
          <w:rFonts w:ascii="Times New Roman" w:hAnsi="Times New Roman"/>
          <w:sz w:val="24"/>
          <w:szCs w:val="24"/>
        </w:rPr>
        <w:t xml:space="preserve"> [denial of motion to disqualify after 4 month delay when discovery cut-off 30 days away]; </w:t>
      </w:r>
      <w:proofErr w:type="spellStart"/>
      <w:r w:rsidR="006D0919">
        <w:rPr>
          <w:rFonts w:ascii="Times New Roman" w:hAnsi="Times New Roman"/>
          <w:i/>
          <w:sz w:val="24"/>
          <w:szCs w:val="24"/>
        </w:rPr>
        <w:t>Skyy</w:t>
      </w:r>
      <w:proofErr w:type="spellEnd"/>
      <w:r w:rsidR="006D0919">
        <w:rPr>
          <w:rFonts w:ascii="Times New Roman" w:hAnsi="Times New Roman"/>
          <w:i/>
          <w:sz w:val="24"/>
          <w:szCs w:val="24"/>
        </w:rPr>
        <w:t xml:space="preserve"> Spirits, LLC v. </w:t>
      </w:r>
      <w:proofErr w:type="spellStart"/>
      <w:r w:rsidR="006D0919">
        <w:rPr>
          <w:rFonts w:ascii="Times New Roman" w:hAnsi="Times New Roman"/>
          <w:i/>
          <w:sz w:val="24"/>
          <w:szCs w:val="24"/>
        </w:rPr>
        <w:t>Rubyy</w:t>
      </w:r>
      <w:proofErr w:type="spellEnd"/>
      <w:r w:rsidR="006D0919">
        <w:rPr>
          <w:rFonts w:ascii="Times New Roman" w:hAnsi="Times New Roman"/>
          <w:i/>
          <w:sz w:val="24"/>
          <w:szCs w:val="24"/>
        </w:rPr>
        <w:t xml:space="preserve">, LLC </w:t>
      </w:r>
      <w:r w:rsidR="006D0919">
        <w:rPr>
          <w:rFonts w:ascii="Times New Roman" w:hAnsi="Times New Roman"/>
          <w:sz w:val="24"/>
          <w:szCs w:val="24"/>
        </w:rPr>
        <w:t>2009 WL 3762418 *4 (N.D.Cal., Nov. 9, 2009) [denial of motion to disqualify after 8 month delay during which time case was significantly advanced]</w:t>
      </w:r>
      <w:r w:rsidR="002C4F70">
        <w:rPr>
          <w:rFonts w:ascii="Times New Roman" w:hAnsi="Times New Roman"/>
          <w:sz w:val="24"/>
          <w:szCs w:val="24"/>
        </w:rPr>
        <w:t>.</w:t>
      </w:r>
      <w:r w:rsidR="002C4F70">
        <w:rPr>
          <w:rStyle w:val="FootnoteReference"/>
          <w:rFonts w:ascii="Times New Roman" w:hAnsi="Times New Roman"/>
          <w:sz w:val="24"/>
          <w:szCs w:val="24"/>
        </w:rPr>
        <w:footnoteReference w:id="25"/>
      </w:r>
      <w:r w:rsidR="00DA3858">
        <w:rPr>
          <w:rFonts w:ascii="Times New Roman" w:hAnsi="Times New Roman"/>
          <w:sz w:val="24"/>
          <w:szCs w:val="24"/>
        </w:rPr>
        <w:t xml:space="preserve">  In determining whether to deny a motion to disqualify on the basis of unreasonable delay, the Court considers: (1)</w:t>
      </w:r>
      <w:r w:rsidR="009B3CA3">
        <w:rPr>
          <w:rFonts w:ascii="Times New Roman" w:hAnsi="Times New Roman"/>
          <w:sz w:val="24"/>
          <w:szCs w:val="24"/>
        </w:rPr>
        <w:t xml:space="preserve"> length of delay; (2) stage of the litigation at which disqualification is made; (3) </w:t>
      </w:r>
      <w:r w:rsidR="00B37772">
        <w:rPr>
          <w:rFonts w:ascii="Times New Roman" w:hAnsi="Times New Roman"/>
          <w:sz w:val="24"/>
          <w:szCs w:val="24"/>
        </w:rPr>
        <w:t>movement of case during delay</w:t>
      </w:r>
      <w:r w:rsidR="00C457CF">
        <w:rPr>
          <w:rFonts w:ascii="Times New Roman" w:hAnsi="Times New Roman"/>
          <w:sz w:val="24"/>
          <w:szCs w:val="24"/>
        </w:rPr>
        <w:t>; (4) whether party brought motion as a tactical device to delay,</w:t>
      </w:r>
      <w:r w:rsidR="00B37772">
        <w:rPr>
          <w:rFonts w:ascii="Times New Roman" w:hAnsi="Times New Roman"/>
          <w:sz w:val="24"/>
          <w:szCs w:val="24"/>
        </w:rPr>
        <w:t xml:space="preserve"> and (4) </w:t>
      </w:r>
      <w:r w:rsidR="009B3CA3">
        <w:rPr>
          <w:rFonts w:ascii="Times New Roman" w:hAnsi="Times New Roman"/>
          <w:sz w:val="24"/>
          <w:szCs w:val="24"/>
        </w:rPr>
        <w:t xml:space="preserve">resulting prejudice of disqualification.  </w:t>
      </w:r>
      <w:r w:rsidR="009B3CA3">
        <w:rPr>
          <w:rFonts w:ascii="Times New Roman" w:hAnsi="Times New Roman"/>
          <w:i/>
          <w:sz w:val="24"/>
          <w:szCs w:val="24"/>
        </w:rPr>
        <w:t xml:space="preserve">Sharma supra </w:t>
      </w:r>
      <w:r w:rsidR="009B3CA3">
        <w:rPr>
          <w:rFonts w:ascii="Times New Roman" w:hAnsi="Times New Roman"/>
          <w:sz w:val="24"/>
          <w:szCs w:val="24"/>
        </w:rPr>
        <w:t>at *3-4</w:t>
      </w:r>
      <w:r w:rsidR="00C457CF">
        <w:rPr>
          <w:rFonts w:ascii="Times New Roman" w:hAnsi="Times New Roman"/>
          <w:sz w:val="24"/>
          <w:szCs w:val="24"/>
        </w:rPr>
        <w:t xml:space="preserve">; </w:t>
      </w:r>
      <w:r w:rsidR="00C457CF">
        <w:rPr>
          <w:rFonts w:ascii="Times New Roman" w:hAnsi="Times New Roman"/>
          <w:i/>
          <w:sz w:val="24"/>
          <w:szCs w:val="24"/>
        </w:rPr>
        <w:t xml:space="preserve">Liberty National supra </w:t>
      </w:r>
      <w:r w:rsidR="00C457CF">
        <w:rPr>
          <w:rFonts w:ascii="Times New Roman" w:hAnsi="Times New Roman"/>
          <w:sz w:val="24"/>
          <w:szCs w:val="24"/>
        </w:rPr>
        <w:t>194 Cal.App.4</w:t>
      </w:r>
      <w:r w:rsidR="00C457CF" w:rsidRPr="00C457CF">
        <w:rPr>
          <w:rFonts w:ascii="Times New Roman" w:hAnsi="Times New Roman"/>
          <w:sz w:val="24"/>
          <w:szCs w:val="24"/>
          <w:vertAlign w:val="superscript"/>
        </w:rPr>
        <w:t>th</w:t>
      </w:r>
      <w:r w:rsidR="00C457CF">
        <w:rPr>
          <w:rFonts w:ascii="Times New Roman" w:hAnsi="Times New Roman"/>
          <w:sz w:val="24"/>
          <w:szCs w:val="24"/>
        </w:rPr>
        <w:t xml:space="preserve"> at 845-848</w:t>
      </w:r>
      <w:r w:rsidR="009B3CA3">
        <w:rPr>
          <w:rFonts w:ascii="Times New Roman" w:hAnsi="Times New Roman"/>
          <w:sz w:val="24"/>
          <w:szCs w:val="24"/>
        </w:rPr>
        <w:t xml:space="preserve">.  </w:t>
      </w:r>
    </w:p>
    <w:p w:rsidR="009B3CA3" w:rsidRPr="009C2DC6" w:rsidRDefault="009C2DC6" w:rsidP="009B3CA3">
      <w:pPr>
        <w:pStyle w:val="ListParagraph"/>
        <w:widowControl w:val="0"/>
        <w:numPr>
          <w:ilvl w:val="0"/>
          <w:numId w:val="12"/>
        </w:numPr>
        <w:rPr>
          <w:rFonts w:ascii="Times New Roman" w:hAnsi="Times New Roman"/>
          <w:b/>
          <w:sz w:val="24"/>
          <w:szCs w:val="24"/>
        </w:rPr>
      </w:pPr>
      <w:r>
        <w:rPr>
          <w:rFonts w:ascii="Times New Roman" w:hAnsi="Times New Roman"/>
          <w:b/>
          <w:sz w:val="24"/>
          <w:szCs w:val="24"/>
        </w:rPr>
        <w:t>Length of Delay: Nearly 6 Months and 3 Weeks Before Trial</w:t>
      </w:r>
    </w:p>
    <w:p w:rsidR="00B37772" w:rsidRDefault="009C2DC6" w:rsidP="00BA78DA">
      <w:pPr>
        <w:widowControl w:val="0"/>
        <w:ind w:firstLine="360"/>
        <w:rPr>
          <w:rFonts w:ascii="Times New Roman" w:hAnsi="Times New Roman"/>
          <w:sz w:val="24"/>
          <w:szCs w:val="24"/>
        </w:rPr>
      </w:pPr>
      <w:r>
        <w:rPr>
          <w:rFonts w:ascii="Times New Roman" w:hAnsi="Times New Roman"/>
          <w:sz w:val="24"/>
          <w:szCs w:val="24"/>
        </w:rPr>
        <w:t>Defendants admit they have been aware of Class Counsel’s position relative to the arbitration class members since February 3, 2016.</w:t>
      </w:r>
      <w:r>
        <w:rPr>
          <w:rStyle w:val="FootnoteReference"/>
          <w:rFonts w:ascii="Times New Roman" w:hAnsi="Times New Roman"/>
          <w:sz w:val="24"/>
          <w:szCs w:val="24"/>
        </w:rPr>
        <w:footnoteReference w:id="26"/>
      </w:r>
      <w:r w:rsidR="00B37772">
        <w:rPr>
          <w:rFonts w:ascii="Times New Roman" w:hAnsi="Times New Roman"/>
          <w:sz w:val="24"/>
          <w:szCs w:val="24"/>
        </w:rPr>
        <w:t xml:space="preserve">   Immediately upon learning ADR was requested to open the 813 files pursuant to the Court’s order, Defendants have been issuing threats and demands on Class Counsel.</w:t>
      </w:r>
      <w:r w:rsidR="00B37772">
        <w:rPr>
          <w:rStyle w:val="FootnoteReference"/>
          <w:rFonts w:ascii="Times New Roman" w:hAnsi="Times New Roman"/>
          <w:sz w:val="24"/>
          <w:szCs w:val="24"/>
        </w:rPr>
        <w:footnoteReference w:id="27"/>
      </w:r>
      <w:r w:rsidR="00B37772">
        <w:rPr>
          <w:rFonts w:ascii="Times New Roman" w:hAnsi="Times New Roman"/>
          <w:sz w:val="24"/>
          <w:szCs w:val="24"/>
        </w:rPr>
        <w:t xml:space="preserve">   In fact, at the time Plaintiffs filed their Motion to Disqualify Defendants’ Counsel there was nothing stopping Defendants from filing a cross-motion, especially because the Motion had hearing was reset by the Court.  Yet Defendants decided to set the hearing on this Motion on August 8, 2016, the day trial is set to begin.   </w:t>
      </w:r>
    </w:p>
    <w:p w:rsidR="00C457CF" w:rsidRPr="00C457CF" w:rsidRDefault="00C457CF" w:rsidP="00B37772">
      <w:pPr>
        <w:pStyle w:val="ListParagraph"/>
        <w:widowControl w:val="0"/>
        <w:numPr>
          <w:ilvl w:val="0"/>
          <w:numId w:val="12"/>
        </w:numPr>
        <w:rPr>
          <w:rFonts w:ascii="Times New Roman" w:hAnsi="Times New Roman"/>
          <w:b/>
          <w:sz w:val="24"/>
          <w:szCs w:val="24"/>
        </w:rPr>
      </w:pPr>
      <w:r>
        <w:rPr>
          <w:rFonts w:ascii="Times New Roman" w:hAnsi="Times New Roman"/>
          <w:b/>
          <w:sz w:val="24"/>
          <w:szCs w:val="24"/>
        </w:rPr>
        <w:t>Stage of Litigation: Trial is Set to Begin the Same Day This Motion Will Be Heard</w:t>
      </w:r>
    </w:p>
    <w:p w:rsidR="00C457CF" w:rsidRDefault="00C457CF" w:rsidP="00C457CF">
      <w:pPr>
        <w:widowControl w:val="0"/>
        <w:ind w:firstLine="720"/>
        <w:rPr>
          <w:rFonts w:ascii="Times New Roman" w:hAnsi="Times New Roman"/>
          <w:sz w:val="24"/>
          <w:szCs w:val="24"/>
        </w:rPr>
      </w:pPr>
      <w:r>
        <w:rPr>
          <w:rFonts w:ascii="Times New Roman" w:hAnsi="Times New Roman"/>
          <w:sz w:val="24"/>
          <w:szCs w:val="24"/>
        </w:rPr>
        <w:t xml:space="preserve">To deprive a client of their counsel at a late stage in the proceedings where no unfair disadvantage to the moving party is established would cause undue hardship without serving the purpose of disqualification.  </w:t>
      </w:r>
      <w:r>
        <w:rPr>
          <w:rFonts w:ascii="Times New Roman" w:hAnsi="Times New Roman"/>
          <w:i/>
          <w:sz w:val="24"/>
          <w:szCs w:val="24"/>
        </w:rPr>
        <w:t xml:space="preserve">Liberty National supra </w:t>
      </w:r>
      <w:r>
        <w:rPr>
          <w:rFonts w:ascii="Times New Roman" w:hAnsi="Times New Roman"/>
          <w:sz w:val="24"/>
          <w:szCs w:val="24"/>
        </w:rPr>
        <w:t xml:space="preserve">at 846-47.  The later the motion is made the more difficult to replace counsel.  </w:t>
      </w:r>
      <w:r>
        <w:rPr>
          <w:rFonts w:ascii="Times New Roman" w:hAnsi="Times New Roman"/>
          <w:i/>
          <w:sz w:val="24"/>
          <w:szCs w:val="24"/>
        </w:rPr>
        <w:t>Id.</w:t>
      </w:r>
      <w:r>
        <w:rPr>
          <w:rFonts w:ascii="Times New Roman" w:hAnsi="Times New Roman"/>
          <w:sz w:val="24"/>
          <w:szCs w:val="24"/>
        </w:rPr>
        <w:t xml:space="preserve">  There is no later date than the day of trial.  This Court expressed the same concern in connection with Plaintiffs’ Motion to Disqualify:</w:t>
      </w:r>
    </w:p>
    <w:p w:rsidR="00C457CF" w:rsidRDefault="00C457CF" w:rsidP="00C457CF">
      <w:pPr>
        <w:widowControl w:val="0"/>
        <w:ind w:firstLine="720"/>
        <w:rPr>
          <w:rFonts w:ascii="Times New Roman" w:hAnsi="Times New Roman"/>
          <w:sz w:val="24"/>
          <w:szCs w:val="24"/>
        </w:rPr>
      </w:pPr>
      <w:r>
        <w:rPr>
          <w:rFonts w:ascii="Times New Roman" w:hAnsi="Times New Roman"/>
          <w:sz w:val="24"/>
          <w:szCs w:val="24"/>
        </w:rPr>
        <w:lastRenderedPageBreak/>
        <w:t>“</w:t>
      </w:r>
      <w:r w:rsidR="002B04DA">
        <w:rPr>
          <w:rFonts w:ascii="Times New Roman" w:hAnsi="Times New Roman"/>
          <w:sz w:val="24"/>
          <w:szCs w:val="24"/>
        </w:rPr>
        <w:t>THE COURT:  It’s not a mere inconvenience to disqualify counsel for a party on the day of trial.”</w:t>
      </w:r>
      <w:r w:rsidR="002B04DA">
        <w:rPr>
          <w:rStyle w:val="FootnoteReference"/>
          <w:rFonts w:ascii="Times New Roman" w:hAnsi="Times New Roman"/>
          <w:sz w:val="24"/>
          <w:szCs w:val="24"/>
        </w:rPr>
        <w:footnoteReference w:id="28"/>
      </w:r>
    </w:p>
    <w:p w:rsidR="002B04DA" w:rsidRPr="00C457CF" w:rsidRDefault="002B04DA" w:rsidP="002B04DA">
      <w:pPr>
        <w:widowControl w:val="0"/>
        <w:rPr>
          <w:rFonts w:ascii="Times New Roman" w:hAnsi="Times New Roman"/>
          <w:sz w:val="24"/>
          <w:szCs w:val="24"/>
        </w:rPr>
      </w:pPr>
      <w:r>
        <w:rPr>
          <w:rFonts w:ascii="Times New Roman" w:hAnsi="Times New Roman"/>
          <w:sz w:val="24"/>
          <w:szCs w:val="24"/>
        </w:rPr>
        <w:tab/>
      </w:r>
      <w:r w:rsidR="00713C2D">
        <w:rPr>
          <w:rFonts w:ascii="Times New Roman" w:hAnsi="Times New Roman"/>
          <w:sz w:val="24"/>
          <w:szCs w:val="24"/>
        </w:rPr>
        <w:t>In addition, as all parties are well aware, the time to bring this matter to trial within the 5 years dictated by CCP §583.310 is fast approaching.  Defendants have repeatedly stated, even on the record, they will not agree to extend the time to commence trial.</w:t>
      </w:r>
      <w:r w:rsidR="00713C2D">
        <w:rPr>
          <w:rStyle w:val="FootnoteReference"/>
          <w:rFonts w:ascii="Times New Roman" w:hAnsi="Times New Roman"/>
          <w:sz w:val="24"/>
          <w:szCs w:val="24"/>
        </w:rPr>
        <w:footnoteReference w:id="29"/>
      </w:r>
      <w:r w:rsidR="00791FD5">
        <w:rPr>
          <w:rFonts w:ascii="Times New Roman" w:hAnsi="Times New Roman"/>
          <w:sz w:val="24"/>
          <w:szCs w:val="24"/>
        </w:rPr>
        <w:t xml:space="preserve">  Disqualifying MLG at this stage, after its instrumental role in preparing for trial, would seriously disrupt the trial in this matter to the detriment of Plaintiffs and the certified class.</w:t>
      </w:r>
    </w:p>
    <w:p w:rsidR="00B37772" w:rsidRPr="00B37772" w:rsidRDefault="00B37772" w:rsidP="00B37772">
      <w:pPr>
        <w:pStyle w:val="ListParagraph"/>
        <w:widowControl w:val="0"/>
        <w:numPr>
          <w:ilvl w:val="0"/>
          <w:numId w:val="12"/>
        </w:numPr>
        <w:rPr>
          <w:rFonts w:ascii="Times New Roman" w:hAnsi="Times New Roman"/>
          <w:b/>
          <w:sz w:val="24"/>
          <w:szCs w:val="24"/>
        </w:rPr>
      </w:pPr>
      <w:r>
        <w:rPr>
          <w:rFonts w:ascii="Times New Roman" w:hAnsi="Times New Roman"/>
          <w:b/>
          <w:sz w:val="24"/>
          <w:szCs w:val="24"/>
        </w:rPr>
        <w:t>Significant Trial Preparation and Motion Practice Occurred During Defendants’ Delay</w:t>
      </w:r>
    </w:p>
    <w:p w:rsidR="00B37772" w:rsidRPr="00C457CF" w:rsidRDefault="00CA2B87" w:rsidP="00CA2B87">
      <w:pPr>
        <w:widowControl w:val="0"/>
        <w:ind w:firstLine="360"/>
        <w:rPr>
          <w:rFonts w:ascii="Times New Roman" w:hAnsi="Times New Roman"/>
          <w:sz w:val="24"/>
          <w:szCs w:val="24"/>
        </w:rPr>
      </w:pPr>
      <w:r>
        <w:rPr>
          <w:rFonts w:ascii="Times New Roman" w:hAnsi="Times New Roman"/>
          <w:sz w:val="24"/>
          <w:szCs w:val="24"/>
        </w:rPr>
        <w:t>To say significant work has been performed on this case since February 2016 by MLG is an understatement.  Since February, MLG has been instrumental in preparing this matter for trial which is set to commence on August 8, 2016.  Post certification discovery was conducted and completed resulting in the production of thousands of documents consisting of class member records.</w:t>
      </w:r>
      <w:r>
        <w:rPr>
          <w:rStyle w:val="FootnoteReference"/>
          <w:rFonts w:ascii="Times New Roman" w:hAnsi="Times New Roman"/>
          <w:sz w:val="24"/>
          <w:szCs w:val="24"/>
        </w:rPr>
        <w:footnoteReference w:id="30"/>
      </w:r>
      <w:r>
        <w:rPr>
          <w:rFonts w:ascii="Times New Roman" w:hAnsi="Times New Roman"/>
          <w:sz w:val="24"/>
          <w:szCs w:val="24"/>
        </w:rPr>
        <w:t xml:space="preserve">  MLG has taken the lead on providing necessary documents and information and coordinating with Plaintiffs’ expert witness.  </w:t>
      </w:r>
      <w:r>
        <w:rPr>
          <w:rFonts w:ascii="Times New Roman" w:hAnsi="Times New Roman"/>
          <w:i/>
          <w:sz w:val="24"/>
          <w:szCs w:val="24"/>
        </w:rPr>
        <w:t xml:space="preserve">Id.  </w:t>
      </w:r>
      <w:r>
        <w:rPr>
          <w:rFonts w:ascii="Times New Roman" w:hAnsi="Times New Roman"/>
          <w:sz w:val="24"/>
          <w:szCs w:val="24"/>
        </w:rPr>
        <w:t xml:space="preserve">MLG drafted the Opposition to Defendants’ Motion to Decertify, has responded to Defendants’ multiple </w:t>
      </w:r>
      <w:r>
        <w:rPr>
          <w:rFonts w:ascii="Times New Roman" w:hAnsi="Times New Roman"/>
          <w:i/>
          <w:sz w:val="24"/>
          <w:szCs w:val="24"/>
        </w:rPr>
        <w:t xml:space="preserve">ex parte </w:t>
      </w:r>
      <w:r>
        <w:rPr>
          <w:rFonts w:ascii="Times New Roman" w:hAnsi="Times New Roman"/>
          <w:sz w:val="24"/>
          <w:szCs w:val="24"/>
        </w:rPr>
        <w:t xml:space="preserve">applications, drafted and filed the Motion to Disqualify Defendants’ Counsel, and has appeared at all hearings.  </w:t>
      </w:r>
      <w:r>
        <w:rPr>
          <w:rFonts w:ascii="Times New Roman" w:hAnsi="Times New Roman"/>
          <w:i/>
          <w:sz w:val="24"/>
          <w:szCs w:val="24"/>
        </w:rPr>
        <w:t xml:space="preserve">Id.  </w:t>
      </w:r>
      <w:r>
        <w:rPr>
          <w:rFonts w:ascii="Times New Roman" w:hAnsi="Times New Roman"/>
          <w:sz w:val="24"/>
          <w:szCs w:val="24"/>
        </w:rPr>
        <w:t xml:space="preserve">In addition, MLG has fully prepared this case for trial which has consisted of reviewing and preparing voluminous exhibits, preparing the documents necessary for the Local Rule 317 conference, interviewing witnesses, working with Plaintiffs’ expert witness, preparing for cross-examinations, drafting Motions in </w:t>
      </w:r>
      <w:proofErr w:type="spellStart"/>
      <w:r>
        <w:rPr>
          <w:rFonts w:ascii="Times New Roman" w:hAnsi="Times New Roman"/>
          <w:sz w:val="24"/>
          <w:szCs w:val="24"/>
        </w:rPr>
        <w:t>Limine</w:t>
      </w:r>
      <w:proofErr w:type="spellEnd"/>
      <w:r>
        <w:rPr>
          <w:rFonts w:ascii="Times New Roman" w:hAnsi="Times New Roman"/>
          <w:sz w:val="24"/>
          <w:szCs w:val="24"/>
        </w:rPr>
        <w:t xml:space="preserve"> and issuing subpoenas.  </w:t>
      </w:r>
      <w:r>
        <w:rPr>
          <w:rFonts w:ascii="Times New Roman" w:hAnsi="Times New Roman"/>
          <w:i/>
          <w:sz w:val="24"/>
          <w:szCs w:val="24"/>
        </w:rPr>
        <w:t>Id.</w:t>
      </w:r>
      <w:r>
        <w:rPr>
          <w:rFonts w:ascii="Times New Roman" w:hAnsi="Times New Roman"/>
          <w:sz w:val="24"/>
          <w:szCs w:val="24"/>
        </w:rPr>
        <w:t xml:space="preserve">  </w:t>
      </w:r>
      <w:r w:rsidR="00C457CF">
        <w:rPr>
          <w:rFonts w:ascii="Times New Roman" w:hAnsi="Times New Roman"/>
          <w:sz w:val="24"/>
          <w:szCs w:val="24"/>
        </w:rPr>
        <w:t xml:space="preserve">Other courts have denied disqualification finding unreasonable delay for much less.  </w:t>
      </w:r>
      <w:proofErr w:type="spellStart"/>
      <w:r w:rsidR="00C457CF">
        <w:rPr>
          <w:rFonts w:ascii="Times New Roman" w:hAnsi="Times New Roman"/>
          <w:i/>
          <w:sz w:val="24"/>
          <w:szCs w:val="24"/>
        </w:rPr>
        <w:t>SKyy</w:t>
      </w:r>
      <w:proofErr w:type="spellEnd"/>
      <w:r w:rsidR="00C457CF">
        <w:rPr>
          <w:rFonts w:ascii="Times New Roman" w:hAnsi="Times New Roman"/>
          <w:i/>
          <w:sz w:val="24"/>
          <w:szCs w:val="24"/>
        </w:rPr>
        <w:t xml:space="preserve"> Spirits supra </w:t>
      </w:r>
      <w:r w:rsidR="00C457CF">
        <w:rPr>
          <w:rFonts w:ascii="Times New Roman" w:hAnsi="Times New Roman"/>
          <w:sz w:val="24"/>
          <w:szCs w:val="24"/>
        </w:rPr>
        <w:t xml:space="preserve">at *3 [8 month delay was unreasonable because case schedule moved ahead and discovery cut-off was 7 weeks away when disqualification sought]; </w:t>
      </w:r>
      <w:r w:rsidR="00C457CF">
        <w:rPr>
          <w:rFonts w:ascii="Times New Roman" w:hAnsi="Times New Roman"/>
          <w:i/>
          <w:sz w:val="24"/>
          <w:szCs w:val="24"/>
        </w:rPr>
        <w:t xml:space="preserve">Openwave supra </w:t>
      </w:r>
      <w:r w:rsidR="00C457CF">
        <w:rPr>
          <w:rFonts w:ascii="Times New Roman" w:hAnsi="Times New Roman"/>
          <w:sz w:val="24"/>
          <w:szCs w:val="24"/>
        </w:rPr>
        <w:t xml:space="preserve">at *6 [4 month delay unreasonable where during delay parties engaged in discovery, produced documents, conducted depositions and </w:t>
      </w:r>
      <w:r w:rsidR="00C457CF">
        <w:rPr>
          <w:rFonts w:ascii="Times New Roman" w:hAnsi="Times New Roman"/>
          <w:sz w:val="24"/>
          <w:szCs w:val="24"/>
        </w:rPr>
        <w:lastRenderedPageBreak/>
        <w:t>discovery cut-off was a month away]</w:t>
      </w:r>
      <w:r w:rsidR="005B5FD6">
        <w:rPr>
          <w:rFonts w:ascii="Times New Roman" w:hAnsi="Times New Roman"/>
          <w:sz w:val="24"/>
          <w:szCs w:val="24"/>
        </w:rPr>
        <w:t>.</w:t>
      </w:r>
      <w:r w:rsidR="00C457CF">
        <w:rPr>
          <w:rFonts w:ascii="Times New Roman" w:hAnsi="Times New Roman"/>
          <w:sz w:val="24"/>
          <w:szCs w:val="24"/>
        </w:rPr>
        <w:t xml:space="preserve"> </w:t>
      </w:r>
    </w:p>
    <w:p w:rsidR="009762BD" w:rsidRPr="009762BD" w:rsidRDefault="004E078C" w:rsidP="00B37772">
      <w:pPr>
        <w:widowControl w:val="0"/>
        <w:ind w:firstLine="360"/>
        <w:rPr>
          <w:rFonts w:ascii="Times New Roman" w:hAnsi="Times New Roman"/>
          <w:sz w:val="24"/>
          <w:szCs w:val="24"/>
        </w:rPr>
      </w:pPr>
      <w:proofErr w:type="gramStart"/>
      <w:r>
        <w:rPr>
          <w:rFonts w:ascii="Times New Roman" w:hAnsi="Times New Roman"/>
          <w:sz w:val="24"/>
          <w:szCs w:val="24"/>
        </w:rPr>
        <w:t>Defendants’ accusations of Class Counsel’s</w:t>
      </w:r>
      <w:proofErr w:type="gramEnd"/>
      <w:r>
        <w:rPr>
          <w:rFonts w:ascii="Times New Roman" w:hAnsi="Times New Roman"/>
          <w:sz w:val="24"/>
          <w:szCs w:val="24"/>
        </w:rPr>
        <w:t xml:space="preserve"> </w:t>
      </w:r>
      <w:r w:rsidR="00B37772">
        <w:rPr>
          <w:rFonts w:ascii="Times New Roman" w:hAnsi="Times New Roman"/>
          <w:sz w:val="24"/>
          <w:szCs w:val="24"/>
        </w:rPr>
        <w:t xml:space="preserve">alleged “unethical” </w:t>
      </w:r>
      <w:r>
        <w:rPr>
          <w:rFonts w:ascii="Times New Roman" w:hAnsi="Times New Roman"/>
          <w:sz w:val="24"/>
          <w:szCs w:val="24"/>
        </w:rPr>
        <w:t xml:space="preserve">conduct in the arbitration proceedings is not a new issue </w:t>
      </w:r>
      <w:r w:rsidR="00BA78DA">
        <w:rPr>
          <w:rFonts w:ascii="Times New Roman" w:hAnsi="Times New Roman"/>
          <w:sz w:val="24"/>
          <w:szCs w:val="24"/>
        </w:rPr>
        <w:t>being brough</w:t>
      </w:r>
      <w:r w:rsidR="00B37772">
        <w:rPr>
          <w:rFonts w:ascii="Times New Roman" w:hAnsi="Times New Roman"/>
          <w:sz w:val="24"/>
          <w:szCs w:val="24"/>
        </w:rPr>
        <w:t>t</w:t>
      </w:r>
      <w:r w:rsidR="00BA78DA">
        <w:rPr>
          <w:rFonts w:ascii="Times New Roman" w:hAnsi="Times New Roman"/>
          <w:sz w:val="24"/>
          <w:szCs w:val="24"/>
        </w:rPr>
        <w:t xml:space="preserve"> before</w:t>
      </w:r>
      <w:r>
        <w:rPr>
          <w:rFonts w:ascii="Times New Roman" w:hAnsi="Times New Roman"/>
          <w:sz w:val="24"/>
          <w:szCs w:val="24"/>
        </w:rPr>
        <w:t xml:space="preserve"> this Court.</w:t>
      </w:r>
      <w:r w:rsidR="002639A9">
        <w:rPr>
          <w:rFonts w:ascii="Times New Roman" w:hAnsi="Times New Roman"/>
          <w:sz w:val="24"/>
          <w:szCs w:val="24"/>
        </w:rPr>
        <w:t xml:space="preserve">  Since </w:t>
      </w:r>
      <w:r w:rsidR="007D0FFE">
        <w:rPr>
          <w:rFonts w:ascii="Times New Roman" w:hAnsi="Times New Roman"/>
          <w:sz w:val="24"/>
          <w:szCs w:val="24"/>
        </w:rPr>
        <w:t>February 2016</w:t>
      </w:r>
      <w:r w:rsidR="002639A9">
        <w:rPr>
          <w:rFonts w:ascii="Times New Roman" w:hAnsi="Times New Roman"/>
          <w:sz w:val="24"/>
          <w:szCs w:val="24"/>
        </w:rPr>
        <w:t xml:space="preserve">, Defendants have made nearly identical accusations and arguments at least </w:t>
      </w:r>
      <w:r w:rsidR="00BA78DA">
        <w:rPr>
          <w:rFonts w:ascii="Times New Roman" w:hAnsi="Times New Roman"/>
          <w:sz w:val="24"/>
          <w:szCs w:val="24"/>
        </w:rPr>
        <w:t>8</w:t>
      </w:r>
      <w:r w:rsidR="00C838D5">
        <w:rPr>
          <w:rFonts w:ascii="Times New Roman" w:hAnsi="Times New Roman"/>
          <w:sz w:val="24"/>
          <w:szCs w:val="24"/>
        </w:rPr>
        <w:t xml:space="preserve"> </w:t>
      </w:r>
      <w:r w:rsidR="002639A9">
        <w:rPr>
          <w:rFonts w:ascii="Times New Roman" w:hAnsi="Times New Roman"/>
          <w:sz w:val="24"/>
          <w:szCs w:val="24"/>
        </w:rPr>
        <w:t>times in pleadings put before the Court and numerous times during court hearings.</w:t>
      </w:r>
      <w:r w:rsidR="002639A9">
        <w:rPr>
          <w:rStyle w:val="FootnoteReference"/>
          <w:rFonts w:ascii="Times New Roman" w:hAnsi="Times New Roman"/>
          <w:sz w:val="24"/>
          <w:szCs w:val="24"/>
        </w:rPr>
        <w:footnoteReference w:id="31"/>
      </w:r>
      <w:r w:rsidR="002639A9">
        <w:rPr>
          <w:rFonts w:ascii="Times New Roman" w:hAnsi="Times New Roman"/>
          <w:sz w:val="24"/>
          <w:szCs w:val="24"/>
        </w:rPr>
        <w:t xml:space="preserve">  </w:t>
      </w:r>
      <w:r w:rsidR="005A16BE">
        <w:rPr>
          <w:rFonts w:ascii="Times New Roman" w:hAnsi="Times New Roman"/>
          <w:sz w:val="24"/>
          <w:szCs w:val="24"/>
        </w:rPr>
        <w:t>In addition, it was Defendants who recently suggested a continuance of the trial date to September so the parties could discuss the possibility of settlement.</w:t>
      </w:r>
      <w:r w:rsidR="005A16BE">
        <w:rPr>
          <w:rStyle w:val="FootnoteReference"/>
          <w:rFonts w:ascii="Times New Roman" w:hAnsi="Times New Roman"/>
          <w:sz w:val="24"/>
          <w:szCs w:val="24"/>
        </w:rPr>
        <w:footnoteReference w:id="32"/>
      </w:r>
      <w:r w:rsidR="005A16BE">
        <w:rPr>
          <w:rFonts w:ascii="Times New Roman" w:hAnsi="Times New Roman"/>
          <w:sz w:val="24"/>
          <w:szCs w:val="24"/>
        </w:rPr>
        <w:t xml:space="preserve">  The Court denied the request, but the day the stipulation was filed it became apparent the true motive of the request was not to seek resolution of the case.</w:t>
      </w:r>
    </w:p>
    <w:p w:rsidR="004E078C" w:rsidRDefault="007D0FFE" w:rsidP="004E078C">
      <w:pPr>
        <w:widowControl w:val="0"/>
        <w:ind w:firstLine="360"/>
        <w:rPr>
          <w:rFonts w:ascii="Times New Roman" w:hAnsi="Times New Roman"/>
          <w:sz w:val="24"/>
          <w:szCs w:val="24"/>
        </w:rPr>
      </w:pPr>
      <w:r>
        <w:rPr>
          <w:rFonts w:ascii="Times New Roman" w:hAnsi="Times New Roman"/>
          <w:sz w:val="24"/>
          <w:szCs w:val="24"/>
        </w:rPr>
        <w:t>On February 17, 2016 during a Status Conference with the Court, Defendants’ asked the Court clarify its Order compelling certain class member claims to arbitration and find Class Counsel no longer represents them.</w:t>
      </w:r>
      <w:r>
        <w:rPr>
          <w:rStyle w:val="FootnoteReference"/>
          <w:rFonts w:ascii="Times New Roman" w:hAnsi="Times New Roman"/>
          <w:sz w:val="24"/>
          <w:szCs w:val="24"/>
        </w:rPr>
        <w:footnoteReference w:id="33"/>
      </w:r>
      <w:r>
        <w:rPr>
          <w:rFonts w:ascii="Times New Roman" w:hAnsi="Times New Roman"/>
          <w:sz w:val="24"/>
          <w:szCs w:val="24"/>
        </w:rPr>
        <w:t xml:space="preserve">  The Court responded that it did not have jurisdiction to make that kind of determination related to claims that are now in arbitration and those claims should be determined by the arbitrator.</w:t>
      </w:r>
      <w:r>
        <w:rPr>
          <w:rStyle w:val="FootnoteReference"/>
          <w:rFonts w:ascii="Times New Roman" w:hAnsi="Times New Roman"/>
          <w:sz w:val="24"/>
          <w:szCs w:val="24"/>
        </w:rPr>
        <w:footnoteReference w:id="34"/>
      </w:r>
    </w:p>
    <w:p w:rsidR="007D0FFE" w:rsidRDefault="007D0FFE" w:rsidP="007D0FFE">
      <w:pPr>
        <w:widowControl w:val="0"/>
        <w:rPr>
          <w:rFonts w:ascii="Times New Roman" w:hAnsi="Times New Roman"/>
          <w:sz w:val="24"/>
          <w:szCs w:val="24"/>
        </w:rPr>
      </w:pPr>
      <w:r>
        <w:rPr>
          <w:rFonts w:ascii="Times New Roman" w:hAnsi="Times New Roman"/>
          <w:sz w:val="24"/>
          <w:szCs w:val="24"/>
        </w:rPr>
        <w:tab/>
        <w:t xml:space="preserve">On April 29, 2016 Defendants filed a Motion to Decertify Class Action.  Four pages of the Motion to Decertify were dedicated to the argument that Class Counsel is inadequate </w:t>
      </w:r>
      <w:r w:rsidR="00C063D4">
        <w:rPr>
          <w:rFonts w:ascii="Times New Roman" w:hAnsi="Times New Roman"/>
          <w:sz w:val="24"/>
          <w:szCs w:val="24"/>
        </w:rPr>
        <w:t>based on the identical facts alleged in the current motion.</w:t>
      </w:r>
      <w:r>
        <w:rPr>
          <w:rStyle w:val="FootnoteReference"/>
          <w:rFonts w:ascii="Times New Roman" w:hAnsi="Times New Roman"/>
          <w:sz w:val="24"/>
          <w:szCs w:val="24"/>
        </w:rPr>
        <w:footnoteReference w:id="35"/>
      </w:r>
      <w:r w:rsidR="00837E39">
        <w:rPr>
          <w:rFonts w:ascii="Times New Roman" w:hAnsi="Times New Roman"/>
          <w:sz w:val="24"/>
          <w:szCs w:val="24"/>
        </w:rPr>
        <w:t xml:space="preserve">  Defendants even relied on the identical cases relied on in the present motion to make its argument MLG should be found inadequate as Class Counsel and the case decertified.</w:t>
      </w:r>
      <w:r w:rsidR="00837E39">
        <w:rPr>
          <w:rStyle w:val="FootnoteReference"/>
          <w:rFonts w:ascii="Times New Roman" w:hAnsi="Times New Roman"/>
          <w:sz w:val="24"/>
          <w:szCs w:val="24"/>
        </w:rPr>
        <w:footnoteReference w:id="36"/>
      </w:r>
      <w:r w:rsidR="00837E39">
        <w:rPr>
          <w:rFonts w:ascii="Times New Roman" w:hAnsi="Times New Roman"/>
          <w:sz w:val="24"/>
          <w:szCs w:val="24"/>
        </w:rPr>
        <w:t xml:space="preserve">  </w:t>
      </w:r>
      <w:r w:rsidR="00C541C1">
        <w:rPr>
          <w:rFonts w:ascii="Times New Roman" w:hAnsi="Times New Roman"/>
          <w:sz w:val="24"/>
          <w:szCs w:val="24"/>
        </w:rPr>
        <w:t>In the Reply, Defendants dedicated 5 pages to the argument</w:t>
      </w:r>
      <w:r w:rsidR="00C063D4">
        <w:rPr>
          <w:rFonts w:ascii="Times New Roman" w:hAnsi="Times New Roman"/>
          <w:sz w:val="24"/>
          <w:szCs w:val="24"/>
        </w:rPr>
        <w:t xml:space="preserve"> utilizing the same facts</w:t>
      </w:r>
      <w:r w:rsidR="00C541C1">
        <w:rPr>
          <w:rFonts w:ascii="Times New Roman" w:hAnsi="Times New Roman"/>
          <w:sz w:val="24"/>
          <w:szCs w:val="24"/>
        </w:rPr>
        <w:t>.</w:t>
      </w:r>
      <w:r w:rsidR="00C541C1">
        <w:rPr>
          <w:rStyle w:val="FootnoteReference"/>
          <w:rFonts w:ascii="Times New Roman" w:hAnsi="Times New Roman"/>
          <w:sz w:val="24"/>
          <w:szCs w:val="24"/>
        </w:rPr>
        <w:footnoteReference w:id="37"/>
      </w:r>
      <w:r w:rsidR="00C541C1">
        <w:rPr>
          <w:rFonts w:ascii="Times New Roman" w:hAnsi="Times New Roman"/>
          <w:sz w:val="24"/>
          <w:szCs w:val="24"/>
        </w:rPr>
        <w:t xml:space="preserve">  </w:t>
      </w:r>
      <w:r w:rsidR="00837E39">
        <w:rPr>
          <w:rFonts w:ascii="Times New Roman" w:hAnsi="Times New Roman"/>
          <w:sz w:val="24"/>
          <w:szCs w:val="24"/>
        </w:rPr>
        <w:t xml:space="preserve">The Court rejected this argument and did not find MLG </w:t>
      </w:r>
      <w:r w:rsidR="00837E39">
        <w:rPr>
          <w:rFonts w:ascii="Times New Roman" w:hAnsi="Times New Roman"/>
          <w:sz w:val="24"/>
          <w:szCs w:val="24"/>
        </w:rPr>
        <w:lastRenderedPageBreak/>
        <w:t>inadequate to act as Class Counsel.</w:t>
      </w:r>
      <w:r w:rsidR="00837E39">
        <w:rPr>
          <w:rStyle w:val="FootnoteReference"/>
          <w:rFonts w:ascii="Times New Roman" w:hAnsi="Times New Roman"/>
          <w:sz w:val="24"/>
          <w:szCs w:val="24"/>
        </w:rPr>
        <w:footnoteReference w:id="38"/>
      </w:r>
      <w:r w:rsidR="00837E39">
        <w:rPr>
          <w:rFonts w:ascii="Times New Roman" w:hAnsi="Times New Roman"/>
          <w:sz w:val="24"/>
          <w:szCs w:val="24"/>
        </w:rPr>
        <w:t xml:space="preserve">  </w:t>
      </w:r>
    </w:p>
    <w:p w:rsidR="0012252E" w:rsidRDefault="0012252E" w:rsidP="007D0FFE">
      <w:pPr>
        <w:widowControl w:val="0"/>
        <w:rPr>
          <w:rFonts w:ascii="Times New Roman" w:hAnsi="Times New Roman"/>
          <w:sz w:val="24"/>
          <w:szCs w:val="24"/>
        </w:rPr>
      </w:pPr>
      <w:r>
        <w:rPr>
          <w:rFonts w:ascii="Times New Roman" w:hAnsi="Times New Roman"/>
          <w:sz w:val="24"/>
          <w:szCs w:val="24"/>
        </w:rPr>
        <w:tab/>
        <w:t>Due to Defendants’ persistent arguments in connection with its Motion to Decertify relying on correspondence between Class Counsel and class members compelled to arbitration</w:t>
      </w:r>
      <w:r w:rsidR="00CB23C3">
        <w:rPr>
          <w:rFonts w:ascii="Times New Roman" w:hAnsi="Times New Roman"/>
          <w:sz w:val="24"/>
          <w:szCs w:val="24"/>
        </w:rPr>
        <w:t xml:space="preserve"> that Class Counsel contended was privileged and attorney work product</w:t>
      </w:r>
      <w:r>
        <w:rPr>
          <w:rFonts w:ascii="Times New Roman" w:hAnsi="Times New Roman"/>
          <w:sz w:val="24"/>
          <w:szCs w:val="24"/>
        </w:rPr>
        <w:t xml:space="preserve">, Plaintiffs brought a Motion to Disqualify Defendants’ Counsel.  </w:t>
      </w:r>
      <w:r w:rsidR="00C152B2">
        <w:rPr>
          <w:rFonts w:ascii="Times New Roman" w:hAnsi="Times New Roman"/>
          <w:sz w:val="24"/>
          <w:szCs w:val="24"/>
        </w:rPr>
        <w:t xml:space="preserve">Prior to filing their Opposition to Plaintiffs’ MTD, </w:t>
      </w:r>
      <w:r w:rsidR="009762BD">
        <w:rPr>
          <w:rFonts w:ascii="Times New Roman" w:hAnsi="Times New Roman"/>
          <w:sz w:val="24"/>
          <w:szCs w:val="24"/>
        </w:rPr>
        <w:t xml:space="preserve">Defendants raised the same issues in two </w:t>
      </w:r>
      <w:r w:rsidR="009762BD">
        <w:rPr>
          <w:rFonts w:ascii="Times New Roman" w:hAnsi="Times New Roman"/>
          <w:i/>
          <w:sz w:val="24"/>
          <w:szCs w:val="24"/>
        </w:rPr>
        <w:t xml:space="preserve">Ex Parte </w:t>
      </w:r>
      <w:r w:rsidR="009762BD">
        <w:rPr>
          <w:rFonts w:ascii="Times New Roman" w:hAnsi="Times New Roman"/>
          <w:sz w:val="24"/>
          <w:szCs w:val="24"/>
        </w:rPr>
        <w:t>Applications where Defendants sought both times to shorten the safe harbor period under CCP §128.7 for the same conduct they allege in this motion warrants disqualification.</w:t>
      </w:r>
      <w:r w:rsidR="009762BD">
        <w:rPr>
          <w:rStyle w:val="FootnoteReference"/>
          <w:rFonts w:ascii="Times New Roman" w:hAnsi="Times New Roman"/>
          <w:sz w:val="24"/>
          <w:szCs w:val="24"/>
        </w:rPr>
        <w:footnoteReference w:id="39"/>
      </w:r>
      <w:r w:rsidR="009762BD">
        <w:rPr>
          <w:rFonts w:ascii="Times New Roman" w:hAnsi="Times New Roman"/>
          <w:sz w:val="24"/>
          <w:szCs w:val="24"/>
        </w:rPr>
        <w:t xml:space="preserve"> </w:t>
      </w:r>
      <w:r>
        <w:rPr>
          <w:rFonts w:ascii="Times New Roman" w:hAnsi="Times New Roman"/>
          <w:sz w:val="24"/>
          <w:szCs w:val="24"/>
        </w:rPr>
        <w:t>In their Opposition to Plai</w:t>
      </w:r>
      <w:r w:rsidR="00CB23C3">
        <w:rPr>
          <w:rFonts w:ascii="Times New Roman" w:hAnsi="Times New Roman"/>
          <w:sz w:val="24"/>
          <w:szCs w:val="24"/>
        </w:rPr>
        <w:t>n</w:t>
      </w:r>
      <w:r>
        <w:rPr>
          <w:rFonts w:ascii="Times New Roman" w:hAnsi="Times New Roman"/>
          <w:sz w:val="24"/>
          <w:szCs w:val="24"/>
        </w:rPr>
        <w:t>tiffs’ MTD, Defendants again argued the very points set forth in the present motion.</w:t>
      </w:r>
      <w:r w:rsidR="00CB23C3">
        <w:rPr>
          <w:rStyle w:val="FootnoteReference"/>
          <w:rFonts w:ascii="Times New Roman" w:hAnsi="Times New Roman"/>
          <w:sz w:val="24"/>
          <w:szCs w:val="24"/>
        </w:rPr>
        <w:footnoteReference w:id="40"/>
      </w:r>
      <w:r>
        <w:rPr>
          <w:rFonts w:ascii="Times New Roman" w:hAnsi="Times New Roman"/>
          <w:sz w:val="24"/>
          <w:szCs w:val="24"/>
        </w:rPr>
        <w:t xml:space="preserve">  </w:t>
      </w:r>
    </w:p>
    <w:p w:rsidR="00CB23C3" w:rsidRDefault="00CB23C3" w:rsidP="007D0FFE">
      <w:pPr>
        <w:widowControl w:val="0"/>
        <w:rPr>
          <w:rFonts w:ascii="Times New Roman" w:hAnsi="Times New Roman"/>
          <w:sz w:val="24"/>
          <w:szCs w:val="24"/>
        </w:rPr>
      </w:pPr>
      <w:r>
        <w:rPr>
          <w:rFonts w:ascii="Times New Roman" w:hAnsi="Times New Roman"/>
          <w:sz w:val="24"/>
          <w:szCs w:val="24"/>
        </w:rPr>
        <w:tab/>
        <w:t xml:space="preserve">This Court summarily denied Defendants’ request to shorten the safe harbor provision as to Defendants’ June 10, 2016 </w:t>
      </w:r>
      <w:r>
        <w:rPr>
          <w:rFonts w:ascii="Times New Roman" w:hAnsi="Times New Roman"/>
          <w:i/>
          <w:sz w:val="24"/>
          <w:szCs w:val="24"/>
        </w:rPr>
        <w:t xml:space="preserve">Ex Parte </w:t>
      </w:r>
      <w:r>
        <w:rPr>
          <w:rFonts w:ascii="Times New Roman" w:hAnsi="Times New Roman"/>
          <w:sz w:val="24"/>
          <w:szCs w:val="24"/>
        </w:rPr>
        <w:t>Application.</w:t>
      </w:r>
      <w:r>
        <w:rPr>
          <w:rStyle w:val="FootnoteReference"/>
          <w:rFonts w:ascii="Times New Roman" w:hAnsi="Times New Roman"/>
          <w:sz w:val="24"/>
          <w:szCs w:val="24"/>
        </w:rPr>
        <w:footnoteReference w:id="41"/>
      </w:r>
      <w:r>
        <w:rPr>
          <w:rFonts w:ascii="Times New Roman" w:hAnsi="Times New Roman"/>
          <w:sz w:val="24"/>
          <w:szCs w:val="24"/>
        </w:rPr>
        <w:t xml:space="preserve">  The following week, Defendants again filed an </w:t>
      </w:r>
      <w:r>
        <w:rPr>
          <w:rFonts w:ascii="Times New Roman" w:hAnsi="Times New Roman"/>
          <w:i/>
          <w:sz w:val="24"/>
          <w:szCs w:val="24"/>
        </w:rPr>
        <w:t xml:space="preserve">Ex Parte </w:t>
      </w:r>
      <w:r>
        <w:rPr>
          <w:rFonts w:ascii="Times New Roman" w:hAnsi="Times New Roman"/>
          <w:sz w:val="24"/>
          <w:szCs w:val="24"/>
        </w:rPr>
        <w:t>Application seeking to shorten the safe harbor provision and to proceed with the deposition of Alison Harding, the individual upon which all of Defendant’s allegations are reliant.</w:t>
      </w:r>
      <w:r>
        <w:rPr>
          <w:rStyle w:val="FootnoteReference"/>
          <w:rFonts w:ascii="Times New Roman" w:hAnsi="Times New Roman"/>
          <w:sz w:val="24"/>
          <w:szCs w:val="24"/>
        </w:rPr>
        <w:footnoteReference w:id="42"/>
      </w:r>
      <w:r>
        <w:rPr>
          <w:rFonts w:ascii="Times New Roman" w:hAnsi="Times New Roman"/>
          <w:sz w:val="24"/>
          <w:szCs w:val="24"/>
        </w:rPr>
        <w:t xml:space="preserve">  Due to the unavailability of the Court, this </w:t>
      </w:r>
      <w:r w:rsidRPr="00CB23C3">
        <w:rPr>
          <w:rFonts w:ascii="Times New Roman" w:hAnsi="Times New Roman"/>
          <w:i/>
          <w:sz w:val="24"/>
          <w:szCs w:val="24"/>
        </w:rPr>
        <w:t>Ex Parte</w:t>
      </w:r>
      <w:r>
        <w:rPr>
          <w:rFonts w:ascii="Times New Roman" w:hAnsi="Times New Roman"/>
          <w:sz w:val="24"/>
          <w:szCs w:val="24"/>
        </w:rPr>
        <w:t xml:space="preserve"> was heard by Judge </w:t>
      </w:r>
      <w:proofErr w:type="spellStart"/>
      <w:r>
        <w:rPr>
          <w:rFonts w:ascii="Times New Roman" w:hAnsi="Times New Roman"/>
          <w:sz w:val="24"/>
          <w:szCs w:val="24"/>
        </w:rPr>
        <w:t>Claster</w:t>
      </w:r>
      <w:proofErr w:type="spellEnd"/>
      <w:r>
        <w:rPr>
          <w:rFonts w:ascii="Times New Roman" w:hAnsi="Times New Roman"/>
          <w:sz w:val="24"/>
          <w:szCs w:val="24"/>
        </w:rPr>
        <w:t>.</w:t>
      </w:r>
      <w:r>
        <w:rPr>
          <w:rStyle w:val="FootnoteReference"/>
          <w:rFonts w:ascii="Times New Roman" w:hAnsi="Times New Roman"/>
          <w:sz w:val="24"/>
          <w:szCs w:val="24"/>
        </w:rPr>
        <w:footnoteReference w:id="43"/>
      </w:r>
      <w:r w:rsidR="00170471">
        <w:rPr>
          <w:rFonts w:ascii="Times New Roman" w:hAnsi="Times New Roman"/>
          <w:sz w:val="24"/>
          <w:szCs w:val="24"/>
        </w:rPr>
        <w:t xml:space="preserve">  After being challenged by the Court on this Court’s prior denial of the identical request, Defendants claimed that circumstances had changed relying on comments in the Court’s order denying Defendants’ Motion to Decertify relating to the privilege of the two letters at issue.</w:t>
      </w:r>
      <w:r w:rsidR="00170471">
        <w:rPr>
          <w:rStyle w:val="FootnoteReference"/>
          <w:rFonts w:ascii="Times New Roman" w:hAnsi="Times New Roman"/>
          <w:sz w:val="24"/>
          <w:szCs w:val="24"/>
        </w:rPr>
        <w:footnoteReference w:id="44"/>
      </w:r>
      <w:r w:rsidR="00170471">
        <w:rPr>
          <w:rFonts w:ascii="Times New Roman" w:hAnsi="Times New Roman"/>
          <w:sz w:val="24"/>
          <w:szCs w:val="24"/>
        </w:rPr>
        <w:t xml:space="preserve">  </w:t>
      </w:r>
      <w:r w:rsidR="00446103">
        <w:rPr>
          <w:rFonts w:ascii="Times New Roman" w:hAnsi="Times New Roman"/>
          <w:sz w:val="24"/>
          <w:szCs w:val="24"/>
        </w:rPr>
        <w:t xml:space="preserve">Judge </w:t>
      </w:r>
      <w:proofErr w:type="spellStart"/>
      <w:r w:rsidR="00446103">
        <w:rPr>
          <w:rFonts w:ascii="Times New Roman" w:hAnsi="Times New Roman"/>
          <w:sz w:val="24"/>
          <w:szCs w:val="24"/>
        </w:rPr>
        <w:t>Claster</w:t>
      </w:r>
      <w:proofErr w:type="spellEnd"/>
      <w:r w:rsidR="00446103">
        <w:rPr>
          <w:rFonts w:ascii="Times New Roman" w:hAnsi="Times New Roman"/>
          <w:sz w:val="24"/>
          <w:szCs w:val="24"/>
        </w:rPr>
        <w:t xml:space="preserve"> denied Defendants’ </w:t>
      </w:r>
      <w:r w:rsidR="00446103">
        <w:rPr>
          <w:rFonts w:ascii="Times New Roman" w:hAnsi="Times New Roman"/>
          <w:i/>
          <w:sz w:val="24"/>
          <w:szCs w:val="24"/>
        </w:rPr>
        <w:t>Ex Parte</w:t>
      </w:r>
      <w:r w:rsidR="00446103">
        <w:rPr>
          <w:rStyle w:val="FootnoteReference"/>
          <w:rFonts w:ascii="Times New Roman" w:hAnsi="Times New Roman"/>
          <w:i/>
          <w:sz w:val="24"/>
          <w:szCs w:val="24"/>
        </w:rPr>
        <w:footnoteReference w:id="45"/>
      </w:r>
      <w:r w:rsidR="00446103">
        <w:rPr>
          <w:rFonts w:ascii="Times New Roman" w:hAnsi="Times New Roman"/>
          <w:sz w:val="24"/>
          <w:szCs w:val="24"/>
        </w:rPr>
        <w:t xml:space="preserve"> </w:t>
      </w:r>
    </w:p>
    <w:p w:rsidR="009762BD" w:rsidRDefault="00446103" w:rsidP="007D0FFE">
      <w:pPr>
        <w:widowControl w:val="0"/>
        <w:rPr>
          <w:rFonts w:ascii="Times New Roman" w:hAnsi="Times New Roman"/>
          <w:sz w:val="24"/>
          <w:szCs w:val="24"/>
        </w:rPr>
      </w:pPr>
      <w:r>
        <w:rPr>
          <w:rFonts w:ascii="Times New Roman" w:hAnsi="Times New Roman"/>
          <w:sz w:val="24"/>
          <w:szCs w:val="24"/>
        </w:rPr>
        <w:tab/>
        <w:t xml:space="preserve">On June 27, 2016 Defendants filed their Opposition to Plaintiffs’ Motion to Disqualify.  In their Opposition, Defendants </w:t>
      </w:r>
      <w:r w:rsidR="009762BD">
        <w:rPr>
          <w:rFonts w:ascii="Times New Roman" w:hAnsi="Times New Roman"/>
          <w:sz w:val="24"/>
          <w:szCs w:val="24"/>
        </w:rPr>
        <w:t xml:space="preserve">used the same set of facts at issue in Defendants’ Motion to </w:t>
      </w:r>
      <w:r w:rsidR="009762BD">
        <w:rPr>
          <w:rFonts w:ascii="Times New Roman" w:hAnsi="Times New Roman"/>
          <w:sz w:val="24"/>
          <w:szCs w:val="24"/>
        </w:rPr>
        <w:lastRenderedPageBreak/>
        <w:t>Disqualify.</w:t>
      </w:r>
      <w:r>
        <w:rPr>
          <w:rStyle w:val="FootnoteReference"/>
          <w:rFonts w:ascii="Times New Roman" w:hAnsi="Times New Roman"/>
          <w:sz w:val="24"/>
          <w:szCs w:val="24"/>
        </w:rPr>
        <w:footnoteReference w:id="46"/>
      </w:r>
      <w:r>
        <w:rPr>
          <w:rFonts w:ascii="Times New Roman" w:hAnsi="Times New Roman"/>
          <w:sz w:val="24"/>
          <w:szCs w:val="24"/>
        </w:rPr>
        <w:t xml:space="preserve">  </w:t>
      </w:r>
      <w:r w:rsidR="00BA78DA">
        <w:rPr>
          <w:rFonts w:ascii="Times New Roman" w:hAnsi="Times New Roman"/>
          <w:sz w:val="24"/>
          <w:szCs w:val="24"/>
        </w:rPr>
        <w:t>On July 11, 2016 the Court issued an order denying Plaintiffs’ Motion to Disqualify but did not award sanctions requested by Defendant on the premise Plaintiffs’ Motion to Disqualify was “frivolous” or “baseless”.</w:t>
      </w:r>
      <w:r w:rsidR="005A16BE">
        <w:rPr>
          <w:rStyle w:val="FootnoteReference"/>
          <w:rFonts w:ascii="Times New Roman" w:hAnsi="Times New Roman"/>
          <w:sz w:val="24"/>
          <w:szCs w:val="24"/>
        </w:rPr>
        <w:footnoteReference w:id="47"/>
      </w:r>
    </w:p>
    <w:p w:rsidR="005A16BE" w:rsidRDefault="005A16BE" w:rsidP="005A16BE">
      <w:pPr>
        <w:widowControl w:val="0"/>
        <w:ind w:firstLine="360"/>
        <w:rPr>
          <w:rFonts w:ascii="Times New Roman" w:hAnsi="Times New Roman"/>
          <w:sz w:val="24"/>
          <w:szCs w:val="24"/>
        </w:rPr>
      </w:pPr>
      <w:r>
        <w:rPr>
          <w:rFonts w:ascii="Times New Roman" w:hAnsi="Times New Roman"/>
          <w:sz w:val="24"/>
          <w:szCs w:val="24"/>
        </w:rPr>
        <w:tab/>
        <w:t>Nothing prevented Defendants from bringing this motion at any time from February 2016.  Therefore, the only logical conclusion is that Defendants purpose in bringing this motion at this time to be heard the day trial commences is to delay trial and the adjudication of these class members’ claims.</w:t>
      </w:r>
    </w:p>
    <w:p w:rsidR="008A2DFD" w:rsidRDefault="008A2DFD" w:rsidP="008A2DFD">
      <w:pPr>
        <w:pStyle w:val="ListParagraph"/>
        <w:widowControl w:val="0"/>
        <w:numPr>
          <w:ilvl w:val="0"/>
          <w:numId w:val="12"/>
        </w:numPr>
        <w:rPr>
          <w:rFonts w:ascii="Times New Roman" w:hAnsi="Times New Roman"/>
          <w:b/>
          <w:sz w:val="24"/>
          <w:szCs w:val="24"/>
        </w:rPr>
      </w:pPr>
      <w:r w:rsidRPr="008A2DFD">
        <w:rPr>
          <w:rFonts w:ascii="Times New Roman" w:hAnsi="Times New Roman"/>
          <w:b/>
          <w:sz w:val="24"/>
          <w:szCs w:val="24"/>
        </w:rPr>
        <w:t xml:space="preserve">Defendants’ Unreasonable Delay in Bringing This Motion Appears To Have A Tactical Purpose Of Delaying Trial </w:t>
      </w:r>
    </w:p>
    <w:p w:rsidR="008A2DFD" w:rsidRDefault="008A2DFD" w:rsidP="008A2DFD">
      <w:pPr>
        <w:widowControl w:val="0"/>
        <w:ind w:firstLine="360"/>
        <w:rPr>
          <w:rFonts w:ascii="Times New Roman" w:hAnsi="Times New Roman"/>
          <w:sz w:val="24"/>
          <w:szCs w:val="24"/>
        </w:rPr>
      </w:pPr>
      <w:r>
        <w:rPr>
          <w:rFonts w:ascii="Times New Roman" w:hAnsi="Times New Roman"/>
          <w:sz w:val="24"/>
          <w:szCs w:val="24"/>
        </w:rPr>
        <w:t xml:space="preserve">It is proper for the court to consider the possibility the “party brought the motion as a tactical device to delay litigation.”  </w:t>
      </w:r>
      <w:r>
        <w:rPr>
          <w:rFonts w:ascii="Times New Roman" w:hAnsi="Times New Roman"/>
          <w:i/>
          <w:sz w:val="24"/>
          <w:szCs w:val="24"/>
        </w:rPr>
        <w:t xml:space="preserve">Liberty National supra </w:t>
      </w:r>
      <w:r>
        <w:rPr>
          <w:rFonts w:ascii="Times New Roman" w:hAnsi="Times New Roman"/>
          <w:sz w:val="24"/>
          <w:szCs w:val="24"/>
        </w:rPr>
        <w:t xml:space="preserve">at 847, citing </w:t>
      </w:r>
      <w:r>
        <w:rPr>
          <w:rFonts w:ascii="Times New Roman" w:hAnsi="Times New Roman"/>
          <w:i/>
          <w:sz w:val="24"/>
          <w:szCs w:val="24"/>
        </w:rPr>
        <w:t xml:space="preserve">Western Continental Op. Co. v. Natural Gas Co. </w:t>
      </w:r>
      <w:r>
        <w:rPr>
          <w:rFonts w:ascii="Times New Roman" w:hAnsi="Times New Roman"/>
          <w:sz w:val="24"/>
          <w:szCs w:val="24"/>
        </w:rPr>
        <w:t xml:space="preserve">(1989) 212 Cal.App.3d 752, 763.  In </w:t>
      </w:r>
      <w:r>
        <w:rPr>
          <w:rFonts w:ascii="Times New Roman" w:hAnsi="Times New Roman"/>
          <w:i/>
          <w:sz w:val="24"/>
          <w:szCs w:val="24"/>
        </w:rPr>
        <w:t xml:space="preserve">Liberty National </w:t>
      </w:r>
      <w:r>
        <w:rPr>
          <w:rFonts w:ascii="Times New Roman" w:hAnsi="Times New Roman"/>
          <w:sz w:val="24"/>
          <w:szCs w:val="24"/>
        </w:rPr>
        <w:t xml:space="preserve">the Court found it was reasonable to infer the motion to disqualify was brought with the purpose of delaying litigation because they had been aware of the facts used to support their request and had </w:t>
      </w:r>
      <w:r w:rsidR="004A0096">
        <w:rPr>
          <w:rFonts w:ascii="Times New Roman" w:hAnsi="Times New Roman"/>
          <w:sz w:val="24"/>
          <w:szCs w:val="24"/>
        </w:rPr>
        <w:t xml:space="preserve">discussed it or raised it previously in the case.  </w:t>
      </w:r>
      <w:r w:rsidR="004A0096">
        <w:rPr>
          <w:rFonts w:ascii="Times New Roman" w:hAnsi="Times New Roman"/>
          <w:i/>
          <w:sz w:val="24"/>
          <w:szCs w:val="24"/>
        </w:rPr>
        <w:t xml:space="preserve">Id. </w:t>
      </w:r>
      <w:r w:rsidR="004A0096">
        <w:rPr>
          <w:rFonts w:ascii="Times New Roman" w:hAnsi="Times New Roman"/>
          <w:sz w:val="24"/>
          <w:szCs w:val="24"/>
        </w:rPr>
        <w:t xml:space="preserve">at 847.  In </w:t>
      </w:r>
      <w:r w:rsidR="004A0096">
        <w:rPr>
          <w:rFonts w:ascii="Times New Roman" w:hAnsi="Times New Roman"/>
          <w:i/>
          <w:sz w:val="24"/>
          <w:szCs w:val="24"/>
        </w:rPr>
        <w:t xml:space="preserve">Openwave supra </w:t>
      </w:r>
      <w:r w:rsidR="004A0096">
        <w:rPr>
          <w:rFonts w:ascii="Times New Roman" w:hAnsi="Times New Roman"/>
          <w:sz w:val="24"/>
          <w:szCs w:val="24"/>
        </w:rPr>
        <w:t xml:space="preserve">the court found the motion to disqualify was “tactically motivated” because of its “strategic timing” just two days after the opposing party sought to file a motion for summary judgment.  </w:t>
      </w:r>
      <w:r w:rsidR="004A0096">
        <w:rPr>
          <w:rFonts w:ascii="Times New Roman" w:hAnsi="Times New Roman"/>
          <w:i/>
          <w:sz w:val="24"/>
          <w:szCs w:val="24"/>
        </w:rPr>
        <w:t xml:space="preserve">Openwave supra </w:t>
      </w:r>
      <w:r w:rsidR="004A0096">
        <w:rPr>
          <w:rFonts w:ascii="Times New Roman" w:hAnsi="Times New Roman"/>
          <w:sz w:val="24"/>
          <w:szCs w:val="24"/>
        </w:rPr>
        <w:t xml:space="preserve">at *6. </w:t>
      </w:r>
    </w:p>
    <w:p w:rsidR="004A0096" w:rsidRDefault="004A0096" w:rsidP="004A0096">
      <w:pPr>
        <w:widowControl w:val="0"/>
        <w:rPr>
          <w:rFonts w:ascii="Times New Roman" w:hAnsi="Times New Roman"/>
          <w:sz w:val="24"/>
          <w:szCs w:val="24"/>
        </w:rPr>
      </w:pPr>
      <w:r>
        <w:rPr>
          <w:rFonts w:ascii="Times New Roman" w:hAnsi="Times New Roman"/>
          <w:sz w:val="24"/>
          <w:szCs w:val="24"/>
        </w:rPr>
        <w:tab/>
        <w:t xml:space="preserve">Here, Defendants have been aware of the facts being used to support their Motion to Disqualify since February 2016.  The only thing that has change since that time is now ADR is refusing to proceed with the arbitrations thereby denying any of the class members subject the arbitration agreements any forum to litigate their claims.  </w:t>
      </w:r>
      <w:r w:rsidR="000F26AD">
        <w:rPr>
          <w:rFonts w:ascii="Times New Roman" w:hAnsi="Times New Roman"/>
          <w:sz w:val="24"/>
          <w:szCs w:val="24"/>
        </w:rPr>
        <w:t>At the last hearing, Plaintiffs announced their intention to file a motion with the Court seeking to reinstate the arbitration class members into the class due to this denial of due process.  Upon learning that fact, Defendants then, and admittedly only then, decided to seek to disqualify MLG.</w:t>
      </w:r>
      <w:r w:rsidR="000F26AD">
        <w:rPr>
          <w:rStyle w:val="FootnoteReference"/>
          <w:rFonts w:ascii="Times New Roman" w:hAnsi="Times New Roman"/>
          <w:sz w:val="24"/>
          <w:szCs w:val="24"/>
        </w:rPr>
        <w:footnoteReference w:id="48"/>
      </w:r>
      <w:r w:rsidR="00D8482A">
        <w:rPr>
          <w:rFonts w:ascii="Times New Roman" w:hAnsi="Times New Roman"/>
          <w:sz w:val="24"/>
          <w:szCs w:val="24"/>
        </w:rPr>
        <w:t xml:space="preserve">  These facts </w:t>
      </w:r>
      <w:r w:rsidR="00D8482A">
        <w:rPr>
          <w:rFonts w:ascii="Times New Roman" w:hAnsi="Times New Roman"/>
          <w:sz w:val="24"/>
          <w:szCs w:val="24"/>
        </w:rPr>
        <w:lastRenderedPageBreak/>
        <w:t>further support a finding of unreasonable delay.</w:t>
      </w:r>
    </w:p>
    <w:p w:rsidR="008E0C39" w:rsidRPr="008E0C39" w:rsidRDefault="008E0C39" w:rsidP="008E0C39">
      <w:pPr>
        <w:pStyle w:val="ListParagraph"/>
        <w:widowControl w:val="0"/>
        <w:numPr>
          <w:ilvl w:val="0"/>
          <w:numId w:val="12"/>
        </w:numPr>
        <w:rPr>
          <w:rFonts w:ascii="Times New Roman" w:hAnsi="Times New Roman"/>
          <w:b/>
          <w:sz w:val="24"/>
          <w:szCs w:val="24"/>
        </w:rPr>
      </w:pPr>
      <w:r>
        <w:rPr>
          <w:rFonts w:ascii="Times New Roman" w:hAnsi="Times New Roman"/>
          <w:b/>
          <w:sz w:val="24"/>
          <w:szCs w:val="24"/>
        </w:rPr>
        <w:t>Plaintiffs and Class Members Will Suffer Extreme Prejudice if MLG is Disqualified</w:t>
      </w:r>
    </w:p>
    <w:p w:rsidR="008E0C39" w:rsidRDefault="002E0C34" w:rsidP="002E0C34">
      <w:pPr>
        <w:widowControl w:val="0"/>
        <w:ind w:firstLine="360"/>
        <w:rPr>
          <w:rFonts w:ascii="Times New Roman" w:hAnsi="Times New Roman"/>
          <w:sz w:val="24"/>
          <w:szCs w:val="24"/>
        </w:rPr>
      </w:pPr>
      <w:r>
        <w:rPr>
          <w:rFonts w:ascii="Times New Roman" w:hAnsi="Times New Roman"/>
          <w:sz w:val="24"/>
          <w:szCs w:val="24"/>
        </w:rPr>
        <w:t xml:space="preserve">Defendants argue Plaintiffs and Class Members will not be prejudiced because the law firm of Rose, Klein &amp; Marias, </w:t>
      </w:r>
      <w:r w:rsidR="00AD322B">
        <w:rPr>
          <w:rFonts w:ascii="Times New Roman" w:hAnsi="Times New Roman"/>
          <w:sz w:val="24"/>
          <w:szCs w:val="24"/>
        </w:rPr>
        <w:t>LLP (“RKM”) an</w:t>
      </w:r>
      <w:r>
        <w:rPr>
          <w:rFonts w:ascii="Times New Roman" w:hAnsi="Times New Roman"/>
          <w:sz w:val="24"/>
          <w:szCs w:val="24"/>
        </w:rPr>
        <w:t>d attorney Steve Young will still represent them.</w:t>
      </w:r>
      <w:r>
        <w:rPr>
          <w:rStyle w:val="FootnoteReference"/>
          <w:rFonts w:ascii="Times New Roman" w:hAnsi="Times New Roman"/>
          <w:sz w:val="24"/>
          <w:szCs w:val="24"/>
        </w:rPr>
        <w:footnoteReference w:id="49"/>
      </w:r>
      <w:r>
        <w:rPr>
          <w:rFonts w:ascii="Times New Roman" w:hAnsi="Times New Roman"/>
          <w:sz w:val="24"/>
          <w:szCs w:val="24"/>
        </w:rPr>
        <w:t xml:space="preserve">  This precise argument was rejected in </w:t>
      </w:r>
      <w:r>
        <w:rPr>
          <w:rFonts w:ascii="Times New Roman" w:hAnsi="Times New Roman"/>
          <w:i/>
          <w:sz w:val="24"/>
          <w:szCs w:val="24"/>
        </w:rPr>
        <w:t>Sharma v. VW Credit supra</w:t>
      </w:r>
      <w:r>
        <w:rPr>
          <w:rFonts w:ascii="Times New Roman" w:hAnsi="Times New Roman"/>
          <w:sz w:val="24"/>
          <w:szCs w:val="24"/>
        </w:rPr>
        <w:t xml:space="preserve">.  In </w:t>
      </w:r>
      <w:r w:rsidR="00AD322B">
        <w:rPr>
          <w:rFonts w:ascii="Times New Roman" w:hAnsi="Times New Roman"/>
          <w:i/>
          <w:sz w:val="24"/>
          <w:szCs w:val="24"/>
        </w:rPr>
        <w:t xml:space="preserve">Sharp v. Next </w:t>
      </w:r>
      <w:proofErr w:type="spellStart"/>
      <w:r w:rsidR="00AD322B">
        <w:rPr>
          <w:rFonts w:ascii="Times New Roman" w:hAnsi="Times New Roman"/>
          <w:i/>
          <w:sz w:val="24"/>
          <w:szCs w:val="24"/>
        </w:rPr>
        <w:t>Ent</w:t>
      </w:r>
      <w:proofErr w:type="spellEnd"/>
      <w:r w:rsidR="00AD322B">
        <w:rPr>
          <w:rFonts w:ascii="Times New Roman" w:hAnsi="Times New Roman"/>
          <w:i/>
          <w:sz w:val="24"/>
          <w:szCs w:val="24"/>
        </w:rPr>
        <w:t xml:space="preserve">., Inc. </w:t>
      </w:r>
      <w:r w:rsidR="00AD322B">
        <w:rPr>
          <w:rFonts w:ascii="Times New Roman" w:hAnsi="Times New Roman"/>
          <w:sz w:val="24"/>
          <w:szCs w:val="24"/>
        </w:rPr>
        <w:t>(2008) 163 Cal.App.4</w:t>
      </w:r>
      <w:r w:rsidR="00AD322B" w:rsidRPr="00AD322B">
        <w:rPr>
          <w:rFonts w:ascii="Times New Roman" w:hAnsi="Times New Roman"/>
          <w:sz w:val="24"/>
          <w:szCs w:val="24"/>
          <w:vertAlign w:val="superscript"/>
        </w:rPr>
        <w:t>th</w:t>
      </w:r>
      <w:r w:rsidR="00AD322B">
        <w:rPr>
          <w:rFonts w:ascii="Times New Roman" w:hAnsi="Times New Roman"/>
          <w:sz w:val="24"/>
          <w:szCs w:val="24"/>
        </w:rPr>
        <w:t xml:space="preserve"> 410 the court found prejudice where the plaintiffs’ firm had performed significant work over 7 months preparing for class certification.  </w:t>
      </w:r>
      <w:r w:rsidR="00AD322B">
        <w:rPr>
          <w:rFonts w:ascii="Times New Roman" w:hAnsi="Times New Roman"/>
          <w:i/>
          <w:sz w:val="24"/>
          <w:szCs w:val="24"/>
        </w:rPr>
        <w:t xml:space="preserve">Id.  </w:t>
      </w:r>
      <w:r w:rsidR="00AD322B">
        <w:rPr>
          <w:rFonts w:ascii="Times New Roman" w:hAnsi="Times New Roman"/>
          <w:sz w:val="24"/>
          <w:szCs w:val="24"/>
        </w:rPr>
        <w:t xml:space="preserve">In </w:t>
      </w:r>
      <w:r w:rsidR="00AD322B">
        <w:rPr>
          <w:rFonts w:ascii="Times New Roman" w:hAnsi="Times New Roman"/>
          <w:i/>
          <w:sz w:val="24"/>
          <w:szCs w:val="24"/>
        </w:rPr>
        <w:t xml:space="preserve">Sharma supra </w:t>
      </w:r>
      <w:r w:rsidR="00AD322B">
        <w:rPr>
          <w:rFonts w:ascii="Times New Roman" w:hAnsi="Times New Roman"/>
          <w:sz w:val="24"/>
          <w:szCs w:val="24"/>
        </w:rPr>
        <w:t xml:space="preserve">the court found disqualifying one half of a legal team for plaintiffs on a complex case who were instrumental in developing the factual and legal strategy </w:t>
      </w:r>
      <w:proofErr w:type="spellStart"/>
      <w:r w:rsidR="00AD322B">
        <w:rPr>
          <w:rFonts w:ascii="Times New Roman" w:hAnsi="Times New Roman"/>
          <w:sz w:val="24"/>
          <w:szCs w:val="24"/>
        </w:rPr>
        <w:t>sould</w:t>
      </w:r>
      <w:proofErr w:type="spellEnd"/>
      <w:r w:rsidR="00AD322B">
        <w:rPr>
          <w:rFonts w:ascii="Times New Roman" w:hAnsi="Times New Roman"/>
          <w:sz w:val="24"/>
          <w:szCs w:val="24"/>
        </w:rPr>
        <w:t xml:space="preserve"> impose significant hardship such that disqualification was denied.  </w:t>
      </w:r>
      <w:r w:rsidR="00AD322B">
        <w:rPr>
          <w:rFonts w:ascii="Times New Roman" w:hAnsi="Times New Roman"/>
          <w:i/>
          <w:sz w:val="24"/>
          <w:szCs w:val="24"/>
        </w:rPr>
        <w:t xml:space="preserve">Id. </w:t>
      </w:r>
      <w:r w:rsidR="00AD322B">
        <w:rPr>
          <w:rFonts w:ascii="Times New Roman" w:hAnsi="Times New Roman"/>
          <w:sz w:val="24"/>
          <w:szCs w:val="24"/>
        </w:rPr>
        <w:t>at *6.</w:t>
      </w:r>
    </w:p>
    <w:p w:rsidR="00AD322B" w:rsidRDefault="00AD322B" w:rsidP="00AD322B">
      <w:pPr>
        <w:widowControl w:val="0"/>
        <w:rPr>
          <w:rFonts w:ascii="Times New Roman" w:hAnsi="Times New Roman"/>
          <w:sz w:val="24"/>
          <w:szCs w:val="24"/>
        </w:rPr>
      </w:pPr>
      <w:r>
        <w:rPr>
          <w:rFonts w:ascii="Times New Roman" w:hAnsi="Times New Roman"/>
          <w:sz w:val="24"/>
          <w:szCs w:val="24"/>
        </w:rPr>
        <w:tab/>
        <w:t>Here, MLG has played an integral and instrumental role in this case.  The attorneys from MLG working on this matter collectively have over 25 years of wage and hour class action experience.</w:t>
      </w:r>
      <w:r>
        <w:rPr>
          <w:rStyle w:val="FootnoteReference"/>
          <w:rFonts w:ascii="Times New Roman" w:hAnsi="Times New Roman"/>
          <w:sz w:val="24"/>
          <w:szCs w:val="24"/>
        </w:rPr>
        <w:footnoteReference w:id="50"/>
      </w:r>
      <w:r>
        <w:rPr>
          <w:rFonts w:ascii="Times New Roman" w:hAnsi="Times New Roman"/>
          <w:sz w:val="24"/>
          <w:szCs w:val="24"/>
        </w:rPr>
        <w:t xml:space="preserve">  In addition, attorney Kevin Smith with RKM recently moved out of state, a fact of which Defendants were made aware on June 23, 2016.</w:t>
      </w:r>
      <w:r>
        <w:rPr>
          <w:rStyle w:val="FootnoteReference"/>
          <w:rFonts w:ascii="Times New Roman" w:hAnsi="Times New Roman"/>
          <w:sz w:val="24"/>
          <w:szCs w:val="24"/>
        </w:rPr>
        <w:footnoteReference w:id="51"/>
      </w:r>
      <w:r w:rsidR="0050459B">
        <w:rPr>
          <w:rFonts w:ascii="Times New Roman" w:hAnsi="Times New Roman"/>
          <w:sz w:val="24"/>
          <w:szCs w:val="24"/>
        </w:rPr>
        <w:t xml:space="preserve">  </w:t>
      </w:r>
      <w:r w:rsidR="00FA75E8">
        <w:rPr>
          <w:rFonts w:ascii="Times New Roman" w:hAnsi="Times New Roman"/>
          <w:sz w:val="24"/>
          <w:szCs w:val="24"/>
        </w:rPr>
        <w:t>There is no doubt Steve Young is an excellent trial attorney.  However, he just recently joined the team MLG has obviously worked over 4 years through all phases of the litigation and has a level of mastery established with this case that makes it an indispensible member of the team.</w:t>
      </w:r>
      <w:r w:rsidR="00FA75E8">
        <w:rPr>
          <w:rStyle w:val="FootnoteReference"/>
          <w:rFonts w:ascii="Times New Roman" w:hAnsi="Times New Roman"/>
          <w:sz w:val="24"/>
          <w:szCs w:val="24"/>
        </w:rPr>
        <w:footnoteReference w:id="52"/>
      </w:r>
      <w:r w:rsidR="00FA75E8">
        <w:rPr>
          <w:rFonts w:ascii="Times New Roman" w:hAnsi="Times New Roman"/>
          <w:sz w:val="24"/>
          <w:szCs w:val="24"/>
        </w:rPr>
        <w:t xml:space="preserve">   Without the contribution of MLG and its attorneys, Plaintiffs and Class Members will be suffer extreme prejudice justifying denial of disqualification.</w:t>
      </w:r>
    </w:p>
    <w:p w:rsidR="0095755D" w:rsidRPr="00AD322B" w:rsidRDefault="0095755D" w:rsidP="00AD322B">
      <w:pPr>
        <w:widowControl w:val="0"/>
        <w:rPr>
          <w:rFonts w:ascii="Times New Roman" w:hAnsi="Times New Roman"/>
          <w:sz w:val="24"/>
          <w:szCs w:val="24"/>
        </w:rPr>
      </w:pPr>
      <w:r>
        <w:rPr>
          <w:rFonts w:ascii="Times New Roman" w:hAnsi="Times New Roman"/>
          <w:sz w:val="24"/>
          <w:szCs w:val="24"/>
        </w:rPr>
        <w:tab/>
        <w:t xml:space="preserve">As the factors set forth above clearly establish, Defendants have waived their ability to disqualify MLG due to unreasonable delay which would cause prejudice to Plaintiffs and Class Members.  </w:t>
      </w:r>
    </w:p>
    <w:p w:rsidR="005A16BE" w:rsidRPr="00FC5CF9" w:rsidRDefault="00FC5CF9" w:rsidP="00FC5CF9">
      <w:pPr>
        <w:pStyle w:val="ListParagraph"/>
        <w:widowControl w:val="0"/>
        <w:numPr>
          <w:ilvl w:val="0"/>
          <w:numId w:val="9"/>
        </w:numPr>
        <w:rPr>
          <w:rFonts w:ascii="Times New Roman" w:hAnsi="Times New Roman"/>
          <w:b/>
          <w:sz w:val="24"/>
          <w:szCs w:val="24"/>
        </w:rPr>
      </w:pPr>
      <w:r>
        <w:rPr>
          <w:rFonts w:ascii="Times New Roman" w:hAnsi="Times New Roman"/>
          <w:b/>
          <w:sz w:val="24"/>
          <w:szCs w:val="24"/>
        </w:rPr>
        <w:t>THE CASES RELIED UPON BY DEFENDANTS ARE DISTINGUISHABLE</w:t>
      </w:r>
    </w:p>
    <w:p w:rsidR="00FC5CF9" w:rsidRDefault="00FC5CF9" w:rsidP="00FC5CF9">
      <w:pPr>
        <w:widowControl w:val="0"/>
        <w:ind w:firstLine="360"/>
        <w:rPr>
          <w:rFonts w:ascii="Times New Roman" w:hAnsi="Times New Roman"/>
          <w:sz w:val="24"/>
          <w:szCs w:val="24"/>
        </w:rPr>
      </w:pPr>
      <w:r>
        <w:rPr>
          <w:rFonts w:ascii="Times New Roman" w:hAnsi="Times New Roman"/>
          <w:sz w:val="24"/>
          <w:szCs w:val="24"/>
        </w:rPr>
        <w:lastRenderedPageBreak/>
        <w:t xml:space="preserve">Plaintiffs have already distinguished Defendants’ argument and legal authority relating to MLG’s representation of arbitration class members above.  </w:t>
      </w:r>
      <w:r w:rsidR="009E429F">
        <w:rPr>
          <w:rFonts w:ascii="Times New Roman" w:hAnsi="Times New Roman"/>
          <w:sz w:val="24"/>
          <w:szCs w:val="24"/>
        </w:rPr>
        <w:t xml:space="preserve">In arguing MLG violated Business &amp; Professions Code §6104 </w:t>
      </w:r>
      <w:r>
        <w:rPr>
          <w:rFonts w:ascii="Times New Roman" w:hAnsi="Times New Roman"/>
          <w:sz w:val="24"/>
          <w:szCs w:val="24"/>
        </w:rPr>
        <w:t xml:space="preserve">Defendants rely on the case of </w:t>
      </w:r>
      <w:r>
        <w:rPr>
          <w:rFonts w:ascii="Times New Roman" w:hAnsi="Times New Roman"/>
          <w:i/>
          <w:sz w:val="24"/>
          <w:szCs w:val="24"/>
        </w:rPr>
        <w:t>In the Matter of Taylor</w:t>
      </w:r>
      <w:r>
        <w:rPr>
          <w:rFonts w:ascii="Times New Roman" w:hAnsi="Times New Roman"/>
          <w:sz w:val="24"/>
          <w:szCs w:val="24"/>
        </w:rPr>
        <w:t xml:space="preserve"> (Review Dept. 1991) 1 </w:t>
      </w:r>
      <w:proofErr w:type="spellStart"/>
      <w:r>
        <w:rPr>
          <w:rFonts w:ascii="Times New Roman" w:hAnsi="Times New Roman"/>
          <w:sz w:val="24"/>
          <w:szCs w:val="24"/>
        </w:rPr>
        <w:t>Cal.State</w:t>
      </w:r>
      <w:proofErr w:type="spellEnd"/>
      <w:r>
        <w:rPr>
          <w:rFonts w:ascii="Times New Roman" w:hAnsi="Times New Roman"/>
          <w:sz w:val="24"/>
          <w:szCs w:val="24"/>
        </w:rPr>
        <w:t xml:space="preserve"> Bar Ct. </w:t>
      </w:r>
      <w:proofErr w:type="spellStart"/>
      <w:r>
        <w:rPr>
          <w:rFonts w:ascii="Times New Roman" w:hAnsi="Times New Roman"/>
          <w:sz w:val="24"/>
          <w:szCs w:val="24"/>
        </w:rPr>
        <w:t>Rptr</w:t>
      </w:r>
      <w:proofErr w:type="spellEnd"/>
      <w:r>
        <w:rPr>
          <w:rFonts w:ascii="Times New Roman" w:hAnsi="Times New Roman"/>
          <w:sz w:val="24"/>
          <w:szCs w:val="24"/>
        </w:rPr>
        <w:t>. 563, 577 (1991 WL 97796 *4) to support their accusation MLG acted “corruptly” and to imply its conduct could be subject to disbarment.</w:t>
      </w:r>
      <w:r w:rsidR="009E429F">
        <w:rPr>
          <w:rStyle w:val="FootnoteReference"/>
          <w:rFonts w:ascii="Times New Roman" w:hAnsi="Times New Roman"/>
          <w:sz w:val="24"/>
          <w:szCs w:val="24"/>
        </w:rPr>
        <w:footnoteReference w:id="53"/>
      </w:r>
      <w:r>
        <w:rPr>
          <w:rFonts w:ascii="Times New Roman" w:hAnsi="Times New Roman"/>
          <w:sz w:val="24"/>
          <w:szCs w:val="24"/>
        </w:rPr>
        <w:t xml:space="preserve">  What Defendants fail to disclose is that the attorney at issue in that case filed an action during a time his license to practice was suspended.  </w:t>
      </w:r>
      <w:r>
        <w:rPr>
          <w:rFonts w:ascii="Times New Roman" w:hAnsi="Times New Roman"/>
          <w:i/>
          <w:sz w:val="24"/>
          <w:szCs w:val="24"/>
        </w:rPr>
        <w:t xml:space="preserve">Id. </w:t>
      </w:r>
    </w:p>
    <w:p w:rsidR="00C838D5" w:rsidRDefault="00FC5CF9" w:rsidP="007D0FFE">
      <w:pPr>
        <w:widowControl w:val="0"/>
        <w:rPr>
          <w:rFonts w:ascii="Times New Roman" w:hAnsi="Times New Roman"/>
          <w:sz w:val="24"/>
          <w:szCs w:val="24"/>
        </w:rPr>
      </w:pPr>
      <w:r>
        <w:rPr>
          <w:rFonts w:ascii="Times New Roman" w:hAnsi="Times New Roman"/>
          <w:sz w:val="24"/>
          <w:szCs w:val="24"/>
        </w:rPr>
        <w:tab/>
      </w:r>
      <w:r w:rsidR="009E429F">
        <w:rPr>
          <w:rFonts w:ascii="Times New Roman" w:hAnsi="Times New Roman"/>
          <w:sz w:val="24"/>
          <w:szCs w:val="24"/>
        </w:rPr>
        <w:t xml:space="preserve">Defendants next refer to </w:t>
      </w:r>
      <w:r w:rsidR="009E429F">
        <w:rPr>
          <w:rFonts w:ascii="Times New Roman" w:hAnsi="Times New Roman"/>
          <w:i/>
          <w:sz w:val="24"/>
          <w:szCs w:val="24"/>
        </w:rPr>
        <w:t xml:space="preserve">Reliable Money Order, Inc. v. McKnight Sales Co. </w:t>
      </w:r>
      <w:r w:rsidR="009E429F">
        <w:rPr>
          <w:rFonts w:ascii="Times New Roman" w:hAnsi="Times New Roman"/>
          <w:sz w:val="24"/>
          <w:szCs w:val="24"/>
        </w:rPr>
        <w:t>(2013) 704 F.3d 489 (7</w:t>
      </w:r>
      <w:r w:rsidR="009E429F" w:rsidRPr="009E429F">
        <w:rPr>
          <w:rFonts w:ascii="Times New Roman" w:hAnsi="Times New Roman"/>
          <w:sz w:val="24"/>
          <w:szCs w:val="24"/>
          <w:vertAlign w:val="superscript"/>
        </w:rPr>
        <w:t>th</w:t>
      </w:r>
      <w:r w:rsidR="009E429F">
        <w:rPr>
          <w:rFonts w:ascii="Times New Roman" w:hAnsi="Times New Roman"/>
          <w:sz w:val="24"/>
          <w:szCs w:val="24"/>
        </w:rPr>
        <w:t xml:space="preserve"> Cir.).</w:t>
      </w:r>
      <w:r w:rsidR="009E429F">
        <w:rPr>
          <w:rStyle w:val="FootnoteReference"/>
          <w:rFonts w:ascii="Times New Roman" w:hAnsi="Times New Roman"/>
          <w:sz w:val="24"/>
          <w:szCs w:val="24"/>
        </w:rPr>
        <w:footnoteReference w:id="54"/>
      </w:r>
      <w:r w:rsidR="009E429F">
        <w:rPr>
          <w:rFonts w:ascii="Times New Roman" w:hAnsi="Times New Roman"/>
          <w:sz w:val="24"/>
          <w:szCs w:val="24"/>
        </w:rPr>
        <w:t xml:space="preserve"> This case dealt with a lower court’s </w:t>
      </w:r>
      <w:r w:rsidR="00ED0803">
        <w:rPr>
          <w:rFonts w:ascii="Times New Roman" w:hAnsi="Times New Roman"/>
          <w:sz w:val="24"/>
          <w:szCs w:val="24"/>
        </w:rPr>
        <w:t xml:space="preserve">granting </w:t>
      </w:r>
      <w:r w:rsidR="009E429F">
        <w:rPr>
          <w:rFonts w:ascii="Times New Roman" w:hAnsi="Times New Roman"/>
          <w:sz w:val="24"/>
          <w:szCs w:val="24"/>
        </w:rPr>
        <w:t>of certification</w:t>
      </w:r>
      <w:r w:rsidR="00ED0803">
        <w:rPr>
          <w:rFonts w:ascii="Times New Roman" w:hAnsi="Times New Roman"/>
          <w:sz w:val="24"/>
          <w:szCs w:val="24"/>
        </w:rPr>
        <w:t xml:space="preserve"> over defendant’s allegations proposed class counsel engaged in unethical </w:t>
      </w:r>
      <w:proofErr w:type="spellStart"/>
      <w:r w:rsidR="00ED0803">
        <w:rPr>
          <w:rFonts w:ascii="Times New Roman" w:hAnsi="Times New Roman"/>
          <w:sz w:val="24"/>
          <w:szCs w:val="24"/>
        </w:rPr>
        <w:t>conductby</w:t>
      </w:r>
      <w:proofErr w:type="spellEnd"/>
      <w:r w:rsidR="00ED0803">
        <w:rPr>
          <w:rFonts w:ascii="Times New Roman" w:hAnsi="Times New Roman"/>
          <w:sz w:val="24"/>
          <w:szCs w:val="24"/>
        </w:rPr>
        <w:t xml:space="preserve"> going</w:t>
      </w:r>
      <w:r w:rsidR="009E429F">
        <w:rPr>
          <w:rFonts w:ascii="Times New Roman" w:hAnsi="Times New Roman"/>
          <w:sz w:val="24"/>
          <w:szCs w:val="24"/>
        </w:rPr>
        <w:t xml:space="preserve"> outside of the discovery process through improper channels to obtain evidence from a third party.  </w:t>
      </w:r>
      <w:r w:rsidR="009E429F">
        <w:rPr>
          <w:rFonts w:ascii="Times New Roman" w:hAnsi="Times New Roman"/>
          <w:i/>
          <w:sz w:val="24"/>
          <w:szCs w:val="24"/>
        </w:rPr>
        <w:t xml:space="preserve">Id. </w:t>
      </w:r>
      <w:r w:rsidR="009E429F">
        <w:rPr>
          <w:rFonts w:ascii="Times New Roman" w:hAnsi="Times New Roman"/>
          <w:sz w:val="24"/>
          <w:szCs w:val="24"/>
        </w:rPr>
        <w:t xml:space="preserve">at 491-92.  </w:t>
      </w:r>
      <w:r w:rsidR="00ED0803">
        <w:rPr>
          <w:rFonts w:ascii="Times New Roman" w:hAnsi="Times New Roman"/>
          <w:sz w:val="24"/>
          <w:szCs w:val="24"/>
        </w:rPr>
        <w:t xml:space="preserve">There were also allegations intended class counsel sent improper </w:t>
      </w:r>
      <w:proofErr w:type="spellStart"/>
      <w:r w:rsidR="00ED0803">
        <w:rPr>
          <w:rFonts w:ascii="Times New Roman" w:hAnsi="Times New Roman"/>
          <w:sz w:val="24"/>
          <w:szCs w:val="24"/>
        </w:rPr>
        <w:t>solication</w:t>
      </w:r>
      <w:proofErr w:type="spellEnd"/>
      <w:r w:rsidR="00ED0803">
        <w:rPr>
          <w:rFonts w:ascii="Times New Roman" w:hAnsi="Times New Roman"/>
          <w:sz w:val="24"/>
          <w:szCs w:val="24"/>
        </w:rPr>
        <w:t xml:space="preserve"> letters. </w:t>
      </w:r>
      <w:r w:rsidR="00ED0803">
        <w:rPr>
          <w:rFonts w:ascii="Times New Roman" w:hAnsi="Times New Roman"/>
          <w:i/>
          <w:sz w:val="24"/>
          <w:szCs w:val="24"/>
        </w:rPr>
        <w:t xml:space="preserve">Id. </w:t>
      </w:r>
      <w:r w:rsidR="00ED0803">
        <w:rPr>
          <w:rFonts w:ascii="Times New Roman" w:hAnsi="Times New Roman"/>
          <w:sz w:val="24"/>
          <w:szCs w:val="24"/>
        </w:rPr>
        <w:t xml:space="preserve">at 500-501.  The Appellate Court found that even though the conduct raised “serious doubts” about class counsel’s adequacy, certification was upheld because the conduct “neither prejudices the class nor undermines the outcome of the case.”  </w:t>
      </w:r>
      <w:r w:rsidR="00ED0803">
        <w:rPr>
          <w:rFonts w:ascii="Times New Roman" w:hAnsi="Times New Roman"/>
          <w:i/>
          <w:sz w:val="24"/>
          <w:szCs w:val="24"/>
        </w:rPr>
        <w:t xml:space="preserve">Id. </w:t>
      </w:r>
      <w:r w:rsidR="00ED0803">
        <w:rPr>
          <w:rFonts w:ascii="Times New Roman" w:hAnsi="Times New Roman"/>
          <w:sz w:val="24"/>
          <w:szCs w:val="24"/>
        </w:rPr>
        <w:t>at 500.</w:t>
      </w:r>
    </w:p>
    <w:p w:rsidR="00936C56" w:rsidRDefault="00936C56" w:rsidP="00936C56">
      <w:pPr>
        <w:pStyle w:val="ListParagraph"/>
        <w:widowControl w:val="0"/>
        <w:numPr>
          <w:ilvl w:val="0"/>
          <w:numId w:val="9"/>
        </w:numPr>
        <w:rPr>
          <w:rFonts w:ascii="Times New Roman" w:hAnsi="Times New Roman"/>
          <w:sz w:val="24"/>
          <w:szCs w:val="24"/>
        </w:rPr>
      </w:pPr>
      <w:r>
        <w:rPr>
          <w:rFonts w:ascii="Times New Roman" w:hAnsi="Times New Roman"/>
          <w:b/>
          <w:sz w:val="24"/>
          <w:szCs w:val="24"/>
        </w:rPr>
        <w:t>MONETARY SANCTIONS ARE APPROPRIATE FOR THIS MOTION BROUGHT IN BAD FAITH AND FOR THE PURPOSE OF DELAY</w:t>
      </w:r>
    </w:p>
    <w:p w:rsidR="00C838D5" w:rsidRDefault="00936C56" w:rsidP="00936C56">
      <w:pPr>
        <w:widowControl w:val="0"/>
        <w:rPr>
          <w:rFonts w:ascii="Times New Roman" w:hAnsi="Times New Roman"/>
          <w:sz w:val="24"/>
          <w:szCs w:val="24"/>
        </w:rPr>
      </w:pPr>
      <w:r>
        <w:rPr>
          <w:rFonts w:ascii="Times New Roman" w:hAnsi="Times New Roman"/>
          <w:sz w:val="24"/>
          <w:szCs w:val="24"/>
        </w:rPr>
        <w:tab/>
        <w:t xml:space="preserve">Code of Civil Procedure section 128.5 grants the trial court authority to impose sanctions on a party and/or that party’s counsel for bad faith actions that are frivolous or merely brought for delay.  Where sufficient evidence exists to support the conclusion a motion is brought in bad faith or is frivolous, the imposition of sanctions will be upheld on appeal. </w:t>
      </w:r>
      <w:r>
        <w:rPr>
          <w:rFonts w:ascii="Times New Roman" w:hAnsi="Times New Roman"/>
          <w:i/>
          <w:sz w:val="24"/>
          <w:szCs w:val="24"/>
        </w:rPr>
        <w:t xml:space="preserve">Monex Int’l, Ltd. v. Peinado </w:t>
      </w:r>
      <w:r>
        <w:rPr>
          <w:rFonts w:ascii="Times New Roman" w:hAnsi="Times New Roman"/>
          <w:sz w:val="24"/>
          <w:szCs w:val="24"/>
        </w:rPr>
        <w:t>(1990) 224 Cal.App.4</w:t>
      </w:r>
      <w:r w:rsidRPr="00936C56">
        <w:rPr>
          <w:rFonts w:ascii="Times New Roman" w:hAnsi="Times New Roman"/>
          <w:sz w:val="24"/>
          <w:szCs w:val="24"/>
          <w:vertAlign w:val="superscript"/>
        </w:rPr>
        <w:t>th</w:t>
      </w:r>
      <w:r>
        <w:rPr>
          <w:rFonts w:ascii="Times New Roman" w:hAnsi="Times New Roman"/>
          <w:sz w:val="24"/>
          <w:szCs w:val="24"/>
        </w:rPr>
        <w:t xml:space="preserve"> 1619, 1623; </w:t>
      </w:r>
      <w:r>
        <w:rPr>
          <w:rFonts w:ascii="Times New Roman" w:hAnsi="Times New Roman"/>
          <w:i/>
          <w:sz w:val="24"/>
          <w:szCs w:val="24"/>
        </w:rPr>
        <w:t xml:space="preserve">Karwasky v. Zachay </w:t>
      </w:r>
      <w:r>
        <w:rPr>
          <w:rFonts w:ascii="Times New Roman" w:hAnsi="Times New Roman"/>
          <w:sz w:val="24"/>
          <w:szCs w:val="24"/>
        </w:rPr>
        <w:t xml:space="preserve">(1983) 146 Cal.App.3d 679, 681 [sanctions warranted for frivolous motion to disqualify attorneys was devoid of merit].  </w:t>
      </w:r>
    </w:p>
    <w:p w:rsidR="00936C56" w:rsidRPr="00936C56" w:rsidRDefault="00936C56" w:rsidP="00936C56">
      <w:pPr>
        <w:widowControl w:val="0"/>
        <w:rPr>
          <w:rFonts w:ascii="Times New Roman" w:hAnsi="Times New Roman"/>
          <w:sz w:val="24"/>
          <w:szCs w:val="24"/>
        </w:rPr>
      </w:pPr>
      <w:r>
        <w:rPr>
          <w:rFonts w:ascii="Times New Roman" w:hAnsi="Times New Roman"/>
          <w:sz w:val="24"/>
          <w:szCs w:val="24"/>
        </w:rPr>
        <w:tab/>
        <w:t xml:space="preserve">As set forth in detail above and supported by pleadings and transcripts in this case, </w:t>
      </w:r>
      <w:r>
        <w:rPr>
          <w:rFonts w:ascii="Times New Roman" w:hAnsi="Times New Roman"/>
          <w:sz w:val="24"/>
          <w:szCs w:val="24"/>
        </w:rPr>
        <w:lastRenderedPageBreak/>
        <w:t xml:space="preserve">Defendants have had knowledge of all of the facts they allege support their Motion since at least February 2016.  Twice Defendants threatened to bring a motion for sanctions seeking relief from the safe harbor provision of CCP §128.7 but have failed to do so.  Instead, after 6 months of delay they bring a motion to disqualify Class Counsel to be heard the day trial is set to begin.  It is no secret Defendants have consistently refused to continue the deadline to bring this matter to trial within 5 years pursuant to CCP </w:t>
      </w:r>
      <w:r w:rsidR="00F63468">
        <w:rPr>
          <w:rFonts w:ascii="Times New Roman" w:hAnsi="Times New Roman"/>
          <w:sz w:val="24"/>
          <w:szCs w:val="24"/>
        </w:rPr>
        <w:t>P §583.310.</w:t>
      </w:r>
      <w:r w:rsidR="00F63468">
        <w:rPr>
          <w:rStyle w:val="FootnoteReference"/>
          <w:rFonts w:ascii="Times New Roman" w:hAnsi="Times New Roman"/>
          <w:sz w:val="24"/>
          <w:szCs w:val="24"/>
        </w:rPr>
        <w:footnoteReference w:id="55"/>
      </w:r>
      <w:r w:rsidR="00F63468">
        <w:rPr>
          <w:rFonts w:ascii="Times New Roman" w:hAnsi="Times New Roman"/>
          <w:sz w:val="24"/>
          <w:szCs w:val="24"/>
        </w:rPr>
        <w:t xml:space="preserve">  Throughout this case, Defendants have done everything they can to delay the litigation.  After this case was certified as a class, Defendant Dragas Homes removed the action to federal court.  In granting Plaintiffs’ Motion to Remand, the District Court found Defendant’s removal was untimely.</w:t>
      </w:r>
      <w:r w:rsidR="00F63468">
        <w:rPr>
          <w:rStyle w:val="FootnoteReference"/>
          <w:rFonts w:ascii="Times New Roman" w:hAnsi="Times New Roman"/>
          <w:sz w:val="24"/>
          <w:szCs w:val="24"/>
        </w:rPr>
        <w:footnoteReference w:id="56"/>
      </w:r>
      <w:r w:rsidR="00F63468">
        <w:rPr>
          <w:rFonts w:ascii="Times New Roman" w:hAnsi="Times New Roman"/>
          <w:sz w:val="24"/>
          <w:szCs w:val="24"/>
        </w:rPr>
        <w:t xml:space="preserve">   Not </w:t>
      </w:r>
      <w:r w:rsidR="00F667AF">
        <w:rPr>
          <w:rFonts w:ascii="Times New Roman" w:hAnsi="Times New Roman"/>
          <w:sz w:val="24"/>
          <w:szCs w:val="24"/>
        </w:rPr>
        <w:t xml:space="preserve">only did this delay the case for approximately 2 months, it significantly delayed the notice of class certification to the putative class members.  Upon return from the District Court, Defendants filed a challenge pursuant to CCP §170.6 resulting in a reassignment of the case.  After the opt-out period expired, Defendants then brought the Motion to Compel Arbitration which caused additional delays.  While Plaintiffs do not contend these previous actions were frivolous, Plaintiffs do contend they show a pattern and practice of actions causing delay.  Even after this Court indicated Defendants would suffer prejudice if their counsel was disqualified on the day of trial, Defendants brought this motion to be heard on the day of trial.  Finally, it seems clear this motion was only brought as a tactic to divert the Court’s undivided attention to </w:t>
      </w:r>
      <w:r w:rsidR="0048005A">
        <w:rPr>
          <w:rFonts w:ascii="Times New Roman" w:hAnsi="Times New Roman"/>
          <w:sz w:val="24"/>
          <w:szCs w:val="24"/>
        </w:rPr>
        <w:t>Plaintiffs’ Motion</w:t>
      </w:r>
      <w:r w:rsidR="00F667AF">
        <w:rPr>
          <w:rFonts w:ascii="Times New Roman" w:hAnsi="Times New Roman"/>
          <w:sz w:val="24"/>
          <w:szCs w:val="24"/>
        </w:rPr>
        <w:t xml:space="preserve"> which may have the result of the individuals sent to arbitration being reinstated in the class or Defendants having to pay the arbitration initiation fees.  There is nothing new in this motion that has not been raised with the Court and there is no legitimate reason for Defendants to have delayed in bringing it.  Therefore, Plaintiffs respectfully request sanctions in the amount of $4,900.00.</w:t>
      </w:r>
      <w:r w:rsidR="00F667AF">
        <w:rPr>
          <w:rStyle w:val="FootnoteReference"/>
          <w:rFonts w:ascii="Times New Roman" w:hAnsi="Times New Roman"/>
          <w:sz w:val="24"/>
          <w:szCs w:val="24"/>
        </w:rPr>
        <w:footnoteReference w:id="57"/>
      </w:r>
      <w:r w:rsidR="00F667AF">
        <w:rPr>
          <w:rFonts w:ascii="Times New Roman" w:hAnsi="Times New Roman"/>
          <w:sz w:val="24"/>
          <w:szCs w:val="24"/>
        </w:rPr>
        <w:t xml:space="preserve">   </w:t>
      </w:r>
    </w:p>
    <w:p w:rsidR="00B12032" w:rsidRDefault="00230FB6" w:rsidP="00230FB6">
      <w:pPr>
        <w:pStyle w:val="ListParagraph"/>
        <w:widowControl w:val="0"/>
        <w:numPr>
          <w:ilvl w:val="0"/>
          <w:numId w:val="9"/>
        </w:numPr>
        <w:rPr>
          <w:rFonts w:ascii="Times New Roman" w:hAnsi="Times New Roman"/>
          <w:b/>
          <w:sz w:val="24"/>
          <w:szCs w:val="24"/>
        </w:rPr>
      </w:pPr>
      <w:r>
        <w:rPr>
          <w:rFonts w:ascii="Times New Roman" w:hAnsi="Times New Roman"/>
          <w:b/>
          <w:sz w:val="24"/>
          <w:szCs w:val="24"/>
        </w:rPr>
        <w:t>CONCLUSION</w:t>
      </w:r>
      <w:r>
        <w:rPr>
          <w:rFonts w:ascii="Times New Roman" w:hAnsi="Times New Roman"/>
          <w:b/>
          <w:sz w:val="24"/>
          <w:szCs w:val="24"/>
        </w:rPr>
        <w:tab/>
      </w:r>
    </w:p>
    <w:p w:rsidR="00230FB6" w:rsidRDefault="00230FB6" w:rsidP="00230FB6">
      <w:pPr>
        <w:widowControl w:val="0"/>
        <w:ind w:firstLine="360"/>
        <w:rPr>
          <w:rFonts w:ascii="Times New Roman" w:hAnsi="Times New Roman"/>
          <w:sz w:val="24"/>
          <w:szCs w:val="24"/>
        </w:rPr>
      </w:pPr>
      <w:r>
        <w:rPr>
          <w:rFonts w:ascii="Times New Roman" w:hAnsi="Times New Roman"/>
          <w:sz w:val="24"/>
          <w:szCs w:val="24"/>
        </w:rPr>
        <w:t xml:space="preserve">For the reasons set forth herein, Plaintiffs respectfully request the Court DENY Defendants’ </w:t>
      </w:r>
      <w:r>
        <w:rPr>
          <w:rFonts w:ascii="Times New Roman" w:hAnsi="Times New Roman"/>
          <w:sz w:val="24"/>
          <w:szCs w:val="24"/>
        </w:rPr>
        <w:lastRenderedPageBreak/>
        <w:t>Motion to Disqualify the Mahoney Law Group, APC and all of its attorneys and award Plaintiffs reasonable attorneys’ fees in the amount of $4,900.00.</w:t>
      </w:r>
    </w:p>
    <w:p w:rsidR="00BA1360" w:rsidRDefault="00BA1360" w:rsidP="00BA1360">
      <w:pPr>
        <w:rPr>
          <w:rFonts w:ascii="Times New Roman" w:hAnsi="Times New Roman"/>
          <w:b/>
          <w:sz w:val="24"/>
          <w:szCs w:val="24"/>
        </w:rPr>
      </w:pPr>
      <w:r>
        <w:rPr>
          <w:rFonts w:ascii="Times New Roman" w:hAnsi="Times New Roman"/>
          <w:sz w:val="24"/>
          <w:szCs w:val="24"/>
        </w:rPr>
        <w:t>Dated: July 26, 2016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b/>
          <w:sz w:val="24"/>
          <w:szCs w:val="24"/>
        </w:rPr>
        <w:t>MAHONEY LAW GROUP, APC</w:t>
      </w:r>
    </w:p>
    <w:p w:rsidR="00BA1360" w:rsidRDefault="00BA1360" w:rsidP="00BA1360">
      <w:pPr>
        <w:spacing w:line="453" w:lineRule="exact"/>
        <w:rPr>
          <w:rFonts w:ascii="Times New Roman" w:hAnsi="Times New Roman"/>
          <w:sz w:val="24"/>
          <w:szCs w:val="24"/>
        </w:rPr>
      </w:pPr>
    </w:p>
    <w:p w:rsidR="00BA1360" w:rsidRPr="00CC53F4" w:rsidRDefault="00BA1360" w:rsidP="00BA1360">
      <w:pPr>
        <w:spacing w:line="240" w:lineRule="auto"/>
        <w:contextualSpacing/>
        <w:rPr>
          <w:rFonts w:ascii="Times New Roman" w:hAnsi="Times New Roman"/>
          <w:sz w:val="24"/>
          <w:szCs w:val="24"/>
          <w:u w:val="single"/>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By:</w:t>
      </w:r>
      <w:r>
        <w:rPr>
          <w:rFonts w:ascii="Times New Roman" w:hAnsi="Times New Roman"/>
          <w:sz w:val="24"/>
          <w:szCs w:val="24"/>
        </w:rPr>
        <w:tab/>
      </w:r>
      <w:r w:rsidRPr="00FE0604">
        <w:rPr>
          <w:rFonts w:ascii="Times New Roman" w:hAnsi="Times New Roman"/>
          <w:i/>
          <w:sz w:val="24"/>
          <w:szCs w:val="24"/>
          <w:u w:val="single"/>
        </w:rPr>
        <w:t>/s/ Katherine J. Odenbreit</w:t>
      </w:r>
      <w:r>
        <w:rPr>
          <w:rFonts w:ascii="Times New Roman" w:hAnsi="Times New Roman"/>
          <w:sz w:val="24"/>
          <w:szCs w:val="24"/>
          <w:u w:val="single"/>
        </w:rPr>
        <w:t>_____________</w:t>
      </w:r>
      <w:r w:rsidRPr="00CC53F4">
        <w:rPr>
          <w:rFonts w:ascii="Times New Roman" w:hAnsi="Times New Roman"/>
          <w:sz w:val="24"/>
          <w:szCs w:val="24"/>
          <w:u w:val="single"/>
        </w:rPr>
        <w:t xml:space="preserve"> </w:t>
      </w:r>
    </w:p>
    <w:p w:rsidR="00BA1360" w:rsidRDefault="00BA1360" w:rsidP="00BA1360">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Katherine J. Odenbreit, Esq.</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Attorney for Plaintiffs</w:t>
      </w:r>
    </w:p>
    <w:p w:rsidR="00BA1360" w:rsidRDefault="00BA1360" w:rsidP="00BA1360">
      <w:pPr>
        <w:spacing w:line="240" w:lineRule="auto"/>
        <w:contextualSpacing/>
        <w:rPr>
          <w:rFonts w:ascii="Times New Roman" w:hAnsi="Times New Roman"/>
          <w:sz w:val="24"/>
          <w:szCs w:val="24"/>
        </w:rPr>
      </w:pPr>
    </w:p>
    <w:sectPr w:rsidR="00BA1360" w:rsidSect="00BA1360">
      <w:headerReference w:type="default" r:id="rId13"/>
      <w:footerReference w:type="default" r:id="rId14"/>
      <w:pgSz w:w="12240" w:h="15840" w:code="1"/>
      <w:pgMar w:top="1440" w:right="1530" w:bottom="1440" w:left="1440" w:header="720" w:footer="859"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6D98" w:rsidRDefault="00AF6D98">
      <w:pPr>
        <w:spacing w:line="240" w:lineRule="auto"/>
      </w:pPr>
      <w:r>
        <w:separator/>
      </w:r>
    </w:p>
  </w:endnote>
  <w:endnote w:type="continuationSeparator" w:id="0">
    <w:p w:rsidR="00AF6D98" w:rsidRDefault="00AF6D9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27157261"/>
      <w:docPartObj>
        <w:docPartGallery w:val="Page Numbers (Bottom of Page)"/>
        <w:docPartUnique/>
      </w:docPartObj>
    </w:sdtPr>
    <w:sdtEndPr>
      <w:rPr>
        <w:rFonts w:ascii="Times New Roman" w:hAnsi="Times New Roman"/>
        <w:noProof/>
        <w:sz w:val="20"/>
      </w:rPr>
    </w:sdtEndPr>
    <w:sdtContent>
      <w:p w:rsidR="00AF6D98" w:rsidRPr="002D5C19" w:rsidRDefault="00AF6D98">
        <w:pPr>
          <w:pStyle w:val="Footer"/>
          <w:jc w:val="center"/>
          <w:rPr>
            <w:rFonts w:ascii="Times New Roman" w:hAnsi="Times New Roman"/>
            <w:sz w:val="20"/>
          </w:rPr>
        </w:pPr>
        <w:r w:rsidRPr="002D5C19">
          <w:rPr>
            <w:rFonts w:ascii="Times New Roman" w:hAnsi="Times New Roman"/>
            <w:sz w:val="20"/>
          </w:rPr>
          <w:fldChar w:fldCharType="begin"/>
        </w:r>
        <w:r w:rsidRPr="002D5C19">
          <w:rPr>
            <w:rFonts w:ascii="Times New Roman" w:hAnsi="Times New Roman"/>
            <w:sz w:val="20"/>
          </w:rPr>
          <w:instrText xml:space="preserve"> PAGE   \* MERGEFORMAT </w:instrText>
        </w:r>
        <w:r w:rsidRPr="002D5C19">
          <w:rPr>
            <w:rFonts w:ascii="Times New Roman" w:hAnsi="Times New Roman"/>
            <w:sz w:val="20"/>
          </w:rPr>
          <w:fldChar w:fldCharType="separate"/>
        </w:r>
        <w:r w:rsidR="0048005A">
          <w:rPr>
            <w:rFonts w:ascii="Times New Roman" w:hAnsi="Times New Roman"/>
            <w:noProof/>
            <w:sz w:val="20"/>
          </w:rPr>
          <w:t>i</w:t>
        </w:r>
        <w:r w:rsidRPr="002D5C19">
          <w:rPr>
            <w:rFonts w:ascii="Times New Roman" w:hAnsi="Times New Roman"/>
            <w:noProof/>
            <w:sz w:val="20"/>
          </w:rPr>
          <w:fldChar w:fldCharType="end"/>
        </w:r>
      </w:p>
    </w:sdtContent>
  </w:sdt>
  <w:p w:rsidR="00AF6D98" w:rsidRPr="004605CF" w:rsidRDefault="00AF6D98" w:rsidP="00636D39">
    <w:pPr>
      <w:pStyle w:val="SingleSpacing"/>
      <w:pBdr>
        <w:top w:val="single" w:sz="4" w:space="1" w:color="auto"/>
      </w:pBdr>
      <w:jc w:val="center"/>
      <w:rPr>
        <w:rFonts w:ascii="Times New Roman" w:hAnsi="Times New Roman"/>
        <w:sz w:val="19"/>
        <w:szCs w:val="19"/>
      </w:rPr>
    </w:pPr>
    <w:r>
      <w:rPr>
        <w:rFonts w:ascii="Times New Roman" w:hAnsi="Times New Roman"/>
        <w:sz w:val="19"/>
        <w:szCs w:val="19"/>
      </w:rPr>
      <w:t>PLAINTIFFS’ OPPOSITION TO DEFENDANTS’ MOTION TO DISQUALIFY MAHONEY LAW GROUP, APC, AND ALL OF ITS ATTORNEYS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D98" w:rsidRPr="00C42F44" w:rsidRDefault="00AF6D98" w:rsidP="00E41E89">
    <w:pPr>
      <w:pStyle w:val="Footer"/>
      <w:pBdr>
        <w:bottom w:val="single" w:sz="12" w:space="1" w:color="auto"/>
      </w:pBdr>
      <w:spacing w:line="240" w:lineRule="exact"/>
      <w:jc w:val="center"/>
      <w:rPr>
        <w:rFonts w:ascii="Times New Roman" w:hAnsi="Times New Roman"/>
        <w:sz w:val="20"/>
      </w:rPr>
    </w:pPr>
    <w:r w:rsidRPr="00C42F44">
      <w:rPr>
        <w:rFonts w:ascii="Times New Roman" w:hAnsi="Times New Roman"/>
        <w:sz w:val="20"/>
      </w:rPr>
      <w:t>-</w:t>
    </w:r>
    <w:r w:rsidRPr="00C42F44">
      <w:rPr>
        <w:rFonts w:ascii="Times New Roman" w:hAnsi="Times New Roman"/>
        <w:bCs/>
        <w:sz w:val="20"/>
      </w:rPr>
      <w:fldChar w:fldCharType="begin"/>
    </w:r>
    <w:r w:rsidRPr="00C42F44">
      <w:rPr>
        <w:rFonts w:ascii="Times New Roman" w:hAnsi="Times New Roman"/>
        <w:bCs/>
        <w:sz w:val="20"/>
      </w:rPr>
      <w:instrText xml:space="preserve"> PAGE </w:instrText>
    </w:r>
    <w:r w:rsidRPr="00C42F44">
      <w:rPr>
        <w:rFonts w:ascii="Times New Roman" w:hAnsi="Times New Roman"/>
        <w:bCs/>
        <w:sz w:val="20"/>
      </w:rPr>
      <w:fldChar w:fldCharType="separate"/>
    </w:r>
    <w:r w:rsidR="0048005A">
      <w:rPr>
        <w:rFonts w:ascii="Times New Roman" w:hAnsi="Times New Roman"/>
        <w:bCs/>
        <w:noProof/>
        <w:sz w:val="20"/>
      </w:rPr>
      <w:t>20</w:t>
    </w:r>
    <w:r w:rsidRPr="00C42F44">
      <w:rPr>
        <w:rFonts w:ascii="Times New Roman" w:hAnsi="Times New Roman"/>
        <w:bCs/>
        <w:sz w:val="20"/>
      </w:rPr>
      <w:fldChar w:fldCharType="end"/>
    </w:r>
    <w:r w:rsidRPr="00C42F44">
      <w:rPr>
        <w:rFonts w:ascii="Times New Roman" w:hAnsi="Times New Roman"/>
        <w:sz w:val="20"/>
      </w:rPr>
      <w:t>-</w:t>
    </w:r>
  </w:p>
  <w:p w:rsidR="00AF6D98" w:rsidRPr="004605CF" w:rsidRDefault="00AF6D98" w:rsidP="00750FCE">
    <w:pPr>
      <w:pStyle w:val="SingleSpacing"/>
      <w:pBdr>
        <w:top w:val="single" w:sz="4" w:space="1" w:color="auto"/>
      </w:pBdr>
      <w:jc w:val="center"/>
      <w:rPr>
        <w:rFonts w:ascii="Times New Roman" w:hAnsi="Times New Roman"/>
        <w:sz w:val="19"/>
        <w:szCs w:val="19"/>
      </w:rPr>
    </w:pPr>
    <w:r>
      <w:rPr>
        <w:rFonts w:ascii="Times New Roman" w:hAnsi="Times New Roman"/>
        <w:sz w:val="19"/>
        <w:szCs w:val="19"/>
      </w:rPr>
      <w:t>PLAINTIFFS’ OPPOSITION TO DEFENDANTS’ MOTION TO DISQUALIFY MAHONEY LAW GROUP, APC, AND ALL OF ITS ATTORNEYS</w:t>
    </w:r>
  </w:p>
  <w:p w:rsidR="00AF6D98" w:rsidRPr="00791F20" w:rsidRDefault="00AF6D98" w:rsidP="00750FCE">
    <w:pPr>
      <w:spacing w:line="240" w:lineRule="exact"/>
      <w:jc w:val="center"/>
      <w:rPr>
        <w:rFonts w:ascii="Times New Roman" w:hAnsi="Times New Roman"/>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6D98" w:rsidRDefault="00AF6D98">
      <w:pPr>
        <w:spacing w:line="240" w:lineRule="auto"/>
      </w:pPr>
      <w:r>
        <w:separator/>
      </w:r>
    </w:p>
  </w:footnote>
  <w:footnote w:type="continuationSeparator" w:id="0">
    <w:p w:rsidR="00AF6D98" w:rsidRDefault="00AF6D98">
      <w:pPr>
        <w:spacing w:line="240" w:lineRule="auto"/>
      </w:pPr>
      <w:r>
        <w:continuationSeparator/>
      </w:r>
    </w:p>
  </w:footnote>
  <w:footnote w:id="1">
    <w:p w:rsidR="00AF6D98" w:rsidRPr="00266F76" w:rsidRDefault="00AF6D98">
      <w:pPr>
        <w:pStyle w:val="FootnoteText"/>
        <w:rPr>
          <w:rFonts w:ascii="Times New Roman" w:hAnsi="Times New Roman"/>
          <w:sz w:val="24"/>
          <w:szCs w:val="24"/>
        </w:rPr>
      </w:pPr>
      <w:r w:rsidRPr="00266F76">
        <w:rPr>
          <w:rStyle w:val="FootnoteReference"/>
          <w:rFonts w:ascii="Times New Roman" w:hAnsi="Times New Roman"/>
          <w:sz w:val="24"/>
          <w:szCs w:val="24"/>
        </w:rPr>
        <w:footnoteRef/>
      </w:r>
      <w:r w:rsidRPr="00266F76">
        <w:rPr>
          <w:rFonts w:ascii="Times New Roman" w:hAnsi="Times New Roman"/>
          <w:sz w:val="24"/>
          <w:szCs w:val="24"/>
        </w:rPr>
        <w:t xml:space="preserve"> Plaintiffs’ Request for Judicial Notice (“PRJN”), Ex. 1</w:t>
      </w:r>
    </w:p>
  </w:footnote>
  <w:footnote w:id="2">
    <w:p w:rsidR="00AF6D98" w:rsidRPr="0070038D" w:rsidRDefault="00AF6D98" w:rsidP="0070038D">
      <w:pPr>
        <w:pStyle w:val="FootnoteText"/>
        <w:spacing w:line="240" w:lineRule="auto"/>
        <w:contextualSpacing/>
        <w:rPr>
          <w:rFonts w:ascii="Times New Roman" w:hAnsi="Times New Roman"/>
          <w:sz w:val="24"/>
          <w:szCs w:val="24"/>
        </w:rPr>
      </w:pPr>
      <w:r w:rsidRPr="001A3823">
        <w:rPr>
          <w:rStyle w:val="FootnoteReference"/>
          <w:rFonts w:ascii="Times New Roman" w:hAnsi="Times New Roman"/>
          <w:sz w:val="24"/>
          <w:szCs w:val="24"/>
        </w:rPr>
        <w:footnoteRef/>
      </w:r>
      <w:r w:rsidRPr="001A3823">
        <w:rPr>
          <w:rFonts w:ascii="Times New Roman" w:hAnsi="Times New Roman"/>
          <w:sz w:val="24"/>
          <w:szCs w:val="24"/>
        </w:rPr>
        <w:t xml:space="preserve"> Declaration of Katherine J. Odenbreit (“Odenbreit Dec.”), </w:t>
      </w:r>
      <w:r>
        <w:rPr>
          <w:rFonts w:ascii="Times New Roman" w:hAnsi="Times New Roman"/>
          <w:sz w:val="24"/>
          <w:szCs w:val="24"/>
        </w:rPr>
        <w:t xml:space="preserve">¶2, </w:t>
      </w:r>
      <w:r w:rsidRPr="001A3823">
        <w:rPr>
          <w:rFonts w:ascii="Times New Roman" w:hAnsi="Times New Roman"/>
          <w:sz w:val="24"/>
          <w:szCs w:val="24"/>
        </w:rPr>
        <w:t xml:space="preserve">Ex. 1: Transcript of Proceedings, July 11, 2016, 18:21-19:1. </w:t>
      </w:r>
    </w:p>
  </w:footnote>
  <w:footnote w:id="3">
    <w:p w:rsidR="00AF6D98" w:rsidRPr="0070038D" w:rsidRDefault="00AF6D98" w:rsidP="0070038D">
      <w:pPr>
        <w:pStyle w:val="FootnoteText"/>
        <w:spacing w:line="240" w:lineRule="auto"/>
        <w:contextualSpacing/>
        <w:rPr>
          <w:rFonts w:ascii="Times New Roman" w:hAnsi="Times New Roman"/>
          <w:sz w:val="24"/>
          <w:szCs w:val="24"/>
        </w:rPr>
      </w:pPr>
      <w:r w:rsidRPr="0070038D">
        <w:rPr>
          <w:rStyle w:val="FootnoteReference"/>
          <w:rFonts w:ascii="Times New Roman" w:hAnsi="Times New Roman"/>
          <w:sz w:val="24"/>
          <w:szCs w:val="24"/>
        </w:rPr>
        <w:footnoteRef/>
      </w:r>
      <w:r w:rsidRPr="0070038D">
        <w:rPr>
          <w:rFonts w:ascii="Times New Roman" w:hAnsi="Times New Roman"/>
          <w:sz w:val="24"/>
          <w:szCs w:val="24"/>
        </w:rPr>
        <w:t xml:space="preserve"> Only 828 class members’ claims were compelled to arbitration, not 900 as Defendants repeatedly assert.  15 of the arbitration claims were subsequently withdrawn leaving 813 still pending.</w:t>
      </w:r>
      <w:r>
        <w:rPr>
          <w:rFonts w:ascii="Times New Roman" w:hAnsi="Times New Roman"/>
          <w:sz w:val="24"/>
          <w:szCs w:val="24"/>
        </w:rPr>
        <w:t xml:space="preserve">  Odenbreit Dec., ¶4</w:t>
      </w:r>
    </w:p>
  </w:footnote>
  <w:footnote w:id="4">
    <w:p w:rsidR="00AF6D98" w:rsidRPr="003078FE" w:rsidRDefault="00AF6D98" w:rsidP="003078FE">
      <w:pPr>
        <w:pStyle w:val="FootnoteText"/>
        <w:spacing w:line="240" w:lineRule="auto"/>
        <w:contextualSpacing/>
        <w:rPr>
          <w:rFonts w:ascii="Times New Roman" w:hAnsi="Times New Roman"/>
          <w:sz w:val="24"/>
          <w:szCs w:val="24"/>
        </w:rPr>
      </w:pPr>
      <w:r w:rsidRPr="00DC675C">
        <w:rPr>
          <w:rStyle w:val="FootnoteReference"/>
          <w:rFonts w:ascii="Times New Roman" w:hAnsi="Times New Roman"/>
          <w:sz w:val="24"/>
          <w:szCs w:val="24"/>
        </w:rPr>
        <w:footnoteRef/>
      </w:r>
      <w:r w:rsidRPr="00DC675C">
        <w:rPr>
          <w:rFonts w:ascii="Times New Roman" w:hAnsi="Times New Roman"/>
          <w:sz w:val="24"/>
          <w:szCs w:val="24"/>
        </w:rPr>
        <w:t xml:space="preserve"> Odenbreit Dec., </w:t>
      </w:r>
      <w:r>
        <w:rPr>
          <w:rFonts w:ascii="Times New Roman" w:hAnsi="Times New Roman"/>
          <w:sz w:val="24"/>
          <w:szCs w:val="24"/>
        </w:rPr>
        <w:t xml:space="preserve">¶5, </w:t>
      </w:r>
      <w:r w:rsidRPr="00DC675C">
        <w:rPr>
          <w:rFonts w:ascii="Times New Roman" w:hAnsi="Times New Roman"/>
          <w:sz w:val="24"/>
          <w:szCs w:val="24"/>
        </w:rPr>
        <w:t xml:space="preserve">Ex. </w:t>
      </w:r>
      <w:r>
        <w:rPr>
          <w:rFonts w:ascii="Times New Roman" w:hAnsi="Times New Roman"/>
          <w:sz w:val="24"/>
          <w:szCs w:val="24"/>
        </w:rPr>
        <w:t>3</w:t>
      </w:r>
      <w:r w:rsidRPr="00DC675C">
        <w:rPr>
          <w:rFonts w:ascii="Times New Roman" w:hAnsi="Times New Roman"/>
          <w:sz w:val="24"/>
          <w:szCs w:val="24"/>
        </w:rPr>
        <w:t>, 17:9-19, 21:10-25.</w:t>
      </w:r>
    </w:p>
  </w:footnote>
  <w:footnote w:id="5">
    <w:p w:rsidR="00AF6D98" w:rsidRPr="003078FE" w:rsidRDefault="00AF6D98" w:rsidP="003078FE">
      <w:pPr>
        <w:pStyle w:val="FootnoteText"/>
        <w:spacing w:line="240" w:lineRule="auto"/>
        <w:contextualSpacing/>
        <w:rPr>
          <w:rFonts w:ascii="Times New Roman" w:hAnsi="Times New Roman"/>
          <w:sz w:val="24"/>
          <w:szCs w:val="24"/>
        </w:rPr>
      </w:pPr>
      <w:r w:rsidRPr="003078FE">
        <w:rPr>
          <w:rStyle w:val="FootnoteReference"/>
          <w:rFonts w:ascii="Times New Roman" w:hAnsi="Times New Roman"/>
          <w:sz w:val="24"/>
          <w:szCs w:val="24"/>
        </w:rPr>
        <w:footnoteRef/>
      </w:r>
      <w:r w:rsidRPr="003078FE">
        <w:rPr>
          <w:rFonts w:ascii="Times New Roman" w:hAnsi="Times New Roman"/>
          <w:sz w:val="24"/>
          <w:szCs w:val="24"/>
        </w:rPr>
        <w:t xml:space="preserve"> Defendants’ MTD, Dec. of Alison Harding, ¶4, 1:24-26.</w:t>
      </w:r>
    </w:p>
  </w:footnote>
  <w:footnote w:id="6">
    <w:p w:rsidR="00AF6D98" w:rsidRPr="00BB0495" w:rsidRDefault="00AF6D98">
      <w:pPr>
        <w:pStyle w:val="FootnoteText"/>
        <w:rPr>
          <w:rFonts w:ascii="Times New Roman" w:hAnsi="Times New Roman"/>
          <w:sz w:val="24"/>
          <w:szCs w:val="24"/>
        </w:rPr>
      </w:pPr>
      <w:r w:rsidRPr="00BB0495">
        <w:rPr>
          <w:rStyle w:val="FootnoteReference"/>
          <w:rFonts w:ascii="Times New Roman" w:hAnsi="Times New Roman"/>
          <w:sz w:val="24"/>
          <w:szCs w:val="24"/>
        </w:rPr>
        <w:footnoteRef/>
      </w:r>
      <w:r w:rsidRPr="00BB0495">
        <w:rPr>
          <w:rFonts w:ascii="Times New Roman" w:hAnsi="Times New Roman"/>
          <w:sz w:val="24"/>
          <w:szCs w:val="24"/>
        </w:rPr>
        <w:t xml:space="preserve"> Defendants’ MTD, Harding Dec., ¶4.</w:t>
      </w:r>
    </w:p>
  </w:footnote>
  <w:footnote w:id="7">
    <w:p w:rsidR="00AF6D98" w:rsidRPr="002A238D" w:rsidRDefault="00AF6D98" w:rsidP="002A238D">
      <w:pPr>
        <w:pStyle w:val="FootnoteText"/>
        <w:spacing w:line="240" w:lineRule="auto"/>
        <w:contextualSpacing/>
        <w:rPr>
          <w:rFonts w:ascii="Times New Roman" w:hAnsi="Times New Roman"/>
          <w:sz w:val="24"/>
          <w:szCs w:val="24"/>
        </w:rPr>
      </w:pPr>
      <w:r w:rsidRPr="002A238D">
        <w:rPr>
          <w:rStyle w:val="FootnoteReference"/>
          <w:rFonts w:ascii="Times New Roman" w:hAnsi="Times New Roman"/>
          <w:sz w:val="24"/>
          <w:szCs w:val="24"/>
        </w:rPr>
        <w:footnoteRef/>
      </w:r>
      <w:r w:rsidRPr="002A238D">
        <w:rPr>
          <w:rFonts w:ascii="Times New Roman" w:hAnsi="Times New Roman"/>
          <w:sz w:val="24"/>
          <w:szCs w:val="24"/>
        </w:rPr>
        <w:t xml:space="preserve"> Harding Dec., Ex. A.  Ms. Harding also fails to inform the Court that immediately upon receipt of Ms. Harding’s request, Class Counsel sought to dismiss the arbitration proceedings on behalf of Ms. Harding and confirmed to her the relationship between she and MLG was terminated at her request.</w:t>
      </w:r>
      <w:r>
        <w:rPr>
          <w:rFonts w:ascii="Times New Roman" w:hAnsi="Times New Roman"/>
          <w:sz w:val="24"/>
          <w:szCs w:val="24"/>
        </w:rPr>
        <w:t xml:space="preserve">  Class Counsel would have taken these actions sooner if Ms. Harding had not waited 5 months to notify MLG she did not wish to proceed with arbitration.  Odenbreit Dec., ¶6.</w:t>
      </w:r>
    </w:p>
  </w:footnote>
  <w:footnote w:id="8">
    <w:p w:rsidR="00AF6D98" w:rsidRPr="007B3F45" w:rsidRDefault="00AF6D98" w:rsidP="007B3F45">
      <w:pPr>
        <w:pStyle w:val="FootnoteText"/>
        <w:spacing w:line="240" w:lineRule="auto"/>
        <w:contextualSpacing/>
        <w:rPr>
          <w:rFonts w:ascii="Times New Roman" w:hAnsi="Times New Roman"/>
          <w:sz w:val="24"/>
          <w:szCs w:val="24"/>
        </w:rPr>
      </w:pPr>
      <w:r w:rsidRPr="008B2CB9">
        <w:rPr>
          <w:rStyle w:val="FootnoteReference"/>
          <w:rFonts w:ascii="Times New Roman" w:hAnsi="Times New Roman"/>
          <w:sz w:val="24"/>
          <w:szCs w:val="24"/>
        </w:rPr>
        <w:footnoteRef/>
      </w:r>
      <w:r w:rsidRPr="008B2CB9">
        <w:rPr>
          <w:rFonts w:ascii="Times New Roman" w:hAnsi="Times New Roman"/>
          <w:sz w:val="24"/>
          <w:szCs w:val="24"/>
        </w:rPr>
        <w:t xml:space="preserve"> Plaintiffs’ Request for Judicial Notice</w:t>
      </w:r>
      <w:r>
        <w:rPr>
          <w:rFonts w:ascii="Times New Roman" w:hAnsi="Times New Roman"/>
          <w:sz w:val="24"/>
          <w:szCs w:val="24"/>
        </w:rPr>
        <w:t xml:space="preserve"> (“PRJN”)</w:t>
      </w:r>
      <w:r w:rsidRPr="008B2CB9">
        <w:rPr>
          <w:rFonts w:ascii="Times New Roman" w:hAnsi="Times New Roman"/>
          <w:sz w:val="24"/>
          <w:szCs w:val="24"/>
        </w:rPr>
        <w:t xml:space="preserve">, Ex. </w:t>
      </w:r>
      <w:r>
        <w:rPr>
          <w:rFonts w:ascii="Times New Roman" w:hAnsi="Times New Roman"/>
          <w:sz w:val="24"/>
          <w:szCs w:val="24"/>
        </w:rPr>
        <w:t>2</w:t>
      </w:r>
      <w:r w:rsidRPr="008B2CB9">
        <w:rPr>
          <w:rFonts w:ascii="Times New Roman" w:hAnsi="Times New Roman"/>
          <w:sz w:val="24"/>
          <w:szCs w:val="24"/>
        </w:rPr>
        <w:t xml:space="preserve">: Relevant Excerpts from Defendants’ Motion to Decertify Class; Ex. </w:t>
      </w:r>
      <w:r>
        <w:rPr>
          <w:rFonts w:ascii="Times New Roman" w:hAnsi="Times New Roman"/>
          <w:sz w:val="24"/>
          <w:szCs w:val="24"/>
        </w:rPr>
        <w:t>3</w:t>
      </w:r>
      <w:r w:rsidRPr="008B2CB9">
        <w:rPr>
          <w:rFonts w:ascii="Times New Roman" w:hAnsi="Times New Roman"/>
          <w:sz w:val="24"/>
          <w:szCs w:val="24"/>
        </w:rPr>
        <w:t>: Relevant Excerpts from Defendants’ Reply to Opposition to Motion to Decertify.</w:t>
      </w:r>
    </w:p>
  </w:footnote>
  <w:footnote w:id="9">
    <w:p w:rsidR="00AF6D98" w:rsidRPr="005C389F" w:rsidRDefault="00AF6D98" w:rsidP="005C389F">
      <w:pPr>
        <w:pStyle w:val="FootnoteText"/>
        <w:spacing w:line="240" w:lineRule="auto"/>
        <w:contextualSpacing/>
        <w:rPr>
          <w:rFonts w:ascii="Times New Roman" w:hAnsi="Times New Roman"/>
          <w:sz w:val="24"/>
          <w:szCs w:val="24"/>
        </w:rPr>
      </w:pPr>
      <w:r w:rsidRPr="007B3F45">
        <w:rPr>
          <w:rStyle w:val="FootnoteReference"/>
          <w:rFonts w:ascii="Times New Roman" w:hAnsi="Times New Roman"/>
          <w:sz w:val="24"/>
          <w:szCs w:val="24"/>
        </w:rPr>
        <w:footnoteRef/>
      </w:r>
      <w:r w:rsidRPr="007B3F45">
        <w:rPr>
          <w:rFonts w:ascii="Times New Roman" w:hAnsi="Times New Roman"/>
          <w:sz w:val="24"/>
          <w:szCs w:val="24"/>
        </w:rPr>
        <w:t xml:space="preserve"> PRJN, Ex. </w:t>
      </w:r>
      <w:r>
        <w:rPr>
          <w:rFonts w:ascii="Times New Roman" w:hAnsi="Times New Roman"/>
          <w:sz w:val="24"/>
          <w:szCs w:val="24"/>
        </w:rPr>
        <w:t>8</w:t>
      </w:r>
      <w:r w:rsidRPr="007B3F45">
        <w:rPr>
          <w:rFonts w:ascii="Times New Roman" w:hAnsi="Times New Roman"/>
          <w:sz w:val="24"/>
          <w:szCs w:val="24"/>
        </w:rPr>
        <w:t>:  Relevant Excerpts from Defendants’ Opposition to Plaintiffs’ Motion to Disqualify Defendants’ Counsel.</w:t>
      </w:r>
    </w:p>
  </w:footnote>
  <w:footnote w:id="10">
    <w:p w:rsidR="00AF6D98" w:rsidRPr="005C389F" w:rsidRDefault="00AF6D98" w:rsidP="005C389F">
      <w:pPr>
        <w:pStyle w:val="FootnoteText"/>
        <w:spacing w:line="240" w:lineRule="auto"/>
        <w:contextualSpacing/>
        <w:rPr>
          <w:rFonts w:ascii="Times New Roman" w:hAnsi="Times New Roman"/>
          <w:sz w:val="24"/>
          <w:szCs w:val="24"/>
        </w:rPr>
      </w:pPr>
      <w:r w:rsidRPr="005C389F">
        <w:rPr>
          <w:rStyle w:val="FootnoteReference"/>
          <w:rFonts w:ascii="Times New Roman" w:hAnsi="Times New Roman"/>
          <w:sz w:val="24"/>
          <w:szCs w:val="24"/>
        </w:rPr>
        <w:footnoteRef/>
      </w:r>
      <w:r w:rsidRPr="005C389F">
        <w:rPr>
          <w:rFonts w:ascii="Times New Roman" w:hAnsi="Times New Roman"/>
          <w:sz w:val="24"/>
          <w:szCs w:val="24"/>
        </w:rPr>
        <w:t xml:space="preserve"> PRJN, 6, p. 2.</w:t>
      </w:r>
    </w:p>
  </w:footnote>
  <w:footnote w:id="11">
    <w:p w:rsidR="00AF6D98" w:rsidRPr="00AA6668" w:rsidRDefault="00AF6D98" w:rsidP="00AA6668">
      <w:pPr>
        <w:pStyle w:val="FootnoteText"/>
        <w:spacing w:line="240" w:lineRule="auto"/>
        <w:contextualSpacing/>
        <w:rPr>
          <w:rFonts w:ascii="Times New Roman" w:hAnsi="Times New Roman"/>
          <w:sz w:val="24"/>
          <w:szCs w:val="24"/>
        </w:rPr>
      </w:pPr>
      <w:r w:rsidRPr="00AA6668">
        <w:rPr>
          <w:rStyle w:val="FootnoteReference"/>
          <w:rFonts w:ascii="Times New Roman" w:hAnsi="Times New Roman"/>
          <w:sz w:val="24"/>
          <w:szCs w:val="24"/>
        </w:rPr>
        <w:footnoteRef/>
      </w:r>
      <w:r w:rsidRPr="00AA6668">
        <w:rPr>
          <w:rFonts w:ascii="Times New Roman" w:hAnsi="Times New Roman"/>
          <w:sz w:val="24"/>
          <w:szCs w:val="24"/>
        </w:rPr>
        <w:t xml:space="preserve"> Odenbreit Dec., ¶6</w:t>
      </w:r>
    </w:p>
  </w:footnote>
  <w:footnote w:id="12">
    <w:p w:rsidR="00AF6D98" w:rsidRPr="00AA6668" w:rsidRDefault="00AF6D98" w:rsidP="00AA6668">
      <w:pPr>
        <w:pStyle w:val="FootnoteText"/>
        <w:spacing w:line="240" w:lineRule="auto"/>
        <w:contextualSpacing/>
        <w:rPr>
          <w:rFonts w:ascii="Times New Roman" w:hAnsi="Times New Roman"/>
          <w:sz w:val="24"/>
          <w:szCs w:val="24"/>
        </w:rPr>
      </w:pPr>
      <w:r w:rsidRPr="00AA6668">
        <w:rPr>
          <w:rStyle w:val="FootnoteReference"/>
          <w:rFonts w:ascii="Times New Roman" w:hAnsi="Times New Roman"/>
          <w:sz w:val="24"/>
          <w:szCs w:val="24"/>
        </w:rPr>
        <w:footnoteRef/>
      </w:r>
      <w:r w:rsidRPr="00AA6668">
        <w:rPr>
          <w:rFonts w:ascii="Times New Roman" w:hAnsi="Times New Roman"/>
          <w:sz w:val="24"/>
          <w:szCs w:val="24"/>
        </w:rPr>
        <w:t xml:space="preserve"> Odenbreit Dec., ¶6.</w:t>
      </w:r>
    </w:p>
  </w:footnote>
  <w:footnote w:id="13">
    <w:p w:rsidR="00AF6D98" w:rsidRPr="00DA7470" w:rsidRDefault="00AF6D98">
      <w:pPr>
        <w:pStyle w:val="FootnoteText"/>
        <w:rPr>
          <w:rFonts w:ascii="Times New Roman" w:hAnsi="Times New Roman"/>
          <w:sz w:val="24"/>
          <w:szCs w:val="24"/>
        </w:rPr>
      </w:pPr>
      <w:r w:rsidRPr="00DA7470">
        <w:rPr>
          <w:rStyle w:val="FootnoteReference"/>
          <w:rFonts w:ascii="Times New Roman" w:hAnsi="Times New Roman"/>
          <w:sz w:val="24"/>
          <w:szCs w:val="24"/>
        </w:rPr>
        <w:footnoteRef/>
      </w:r>
      <w:r w:rsidRPr="00DA7470">
        <w:rPr>
          <w:rFonts w:ascii="Times New Roman" w:hAnsi="Times New Roman"/>
          <w:sz w:val="24"/>
          <w:szCs w:val="24"/>
        </w:rPr>
        <w:t xml:space="preserve"> Defendants’ MTD, p. 6:6-11.</w:t>
      </w:r>
    </w:p>
  </w:footnote>
  <w:footnote w:id="14">
    <w:p w:rsidR="00AF6D98" w:rsidRPr="008C32A1" w:rsidRDefault="00AF6D98" w:rsidP="008C32A1">
      <w:pPr>
        <w:pStyle w:val="FootnoteText"/>
        <w:spacing w:line="240" w:lineRule="auto"/>
        <w:contextualSpacing/>
        <w:rPr>
          <w:rFonts w:ascii="Times New Roman" w:hAnsi="Times New Roman"/>
          <w:sz w:val="24"/>
          <w:szCs w:val="24"/>
        </w:rPr>
      </w:pPr>
      <w:r w:rsidRPr="008C32A1">
        <w:rPr>
          <w:rStyle w:val="FootnoteReference"/>
          <w:rFonts w:ascii="Times New Roman" w:hAnsi="Times New Roman"/>
          <w:sz w:val="24"/>
          <w:szCs w:val="24"/>
        </w:rPr>
        <w:footnoteRef/>
      </w:r>
      <w:r w:rsidRPr="008C32A1">
        <w:rPr>
          <w:rFonts w:ascii="Times New Roman" w:hAnsi="Times New Roman"/>
          <w:sz w:val="24"/>
          <w:szCs w:val="24"/>
        </w:rPr>
        <w:t xml:space="preserve"> </w:t>
      </w:r>
      <w:proofErr w:type="spellStart"/>
      <w:r w:rsidRPr="008C32A1">
        <w:rPr>
          <w:rFonts w:ascii="Times New Roman" w:hAnsi="Times New Roman"/>
          <w:sz w:val="24"/>
          <w:szCs w:val="24"/>
        </w:rPr>
        <w:t>Begg</w:t>
      </w:r>
      <w:proofErr w:type="spellEnd"/>
      <w:r w:rsidRPr="008C32A1">
        <w:rPr>
          <w:rFonts w:ascii="Times New Roman" w:hAnsi="Times New Roman"/>
          <w:sz w:val="24"/>
          <w:szCs w:val="24"/>
        </w:rPr>
        <w:t xml:space="preserve"> Dec., ¶3; Duggan Dec., ¶3; Chavez Dec., ¶3; </w:t>
      </w:r>
      <w:proofErr w:type="spellStart"/>
      <w:r w:rsidRPr="008C32A1">
        <w:rPr>
          <w:rFonts w:ascii="Times New Roman" w:hAnsi="Times New Roman"/>
          <w:sz w:val="24"/>
          <w:szCs w:val="24"/>
        </w:rPr>
        <w:t>Shunstrom</w:t>
      </w:r>
      <w:proofErr w:type="spellEnd"/>
      <w:r w:rsidRPr="008C32A1">
        <w:rPr>
          <w:rFonts w:ascii="Times New Roman" w:hAnsi="Times New Roman"/>
          <w:sz w:val="24"/>
          <w:szCs w:val="24"/>
        </w:rPr>
        <w:t xml:space="preserve"> Dec.,. 4; Conroy Dec., ¶3; Galvan Dec., ¶3.</w:t>
      </w:r>
    </w:p>
  </w:footnote>
  <w:footnote w:id="15">
    <w:p w:rsidR="00AF6D98" w:rsidRPr="006C0D47" w:rsidRDefault="00AF6D98" w:rsidP="006C0D47">
      <w:pPr>
        <w:pStyle w:val="FootnoteText"/>
        <w:spacing w:line="240" w:lineRule="auto"/>
        <w:contextualSpacing/>
        <w:rPr>
          <w:rFonts w:ascii="Times New Roman" w:hAnsi="Times New Roman"/>
          <w:sz w:val="24"/>
          <w:szCs w:val="24"/>
        </w:rPr>
      </w:pPr>
      <w:r w:rsidRPr="006C0D47">
        <w:rPr>
          <w:rStyle w:val="FootnoteReference"/>
          <w:rFonts w:ascii="Times New Roman" w:hAnsi="Times New Roman"/>
          <w:sz w:val="24"/>
          <w:szCs w:val="24"/>
        </w:rPr>
        <w:footnoteRef/>
      </w:r>
      <w:r w:rsidRPr="006C0D47">
        <w:rPr>
          <w:rFonts w:ascii="Times New Roman" w:hAnsi="Times New Roman"/>
          <w:sz w:val="24"/>
          <w:szCs w:val="24"/>
        </w:rPr>
        <w:t xml:space="preserve"> PRJN, Ex. 9.</w:t>
      </w:r>
    </w:p>
  </w:footnote>
  <w:footnote w:id="16">
    <w:p w:rsidR="00AF6D98" w:rsidRPr="00D61C18" w:rsidRDefault="00AF6D98" w:rsidP="00D61C18">
      <w:pPr>
        <w:pStyle w:val="FootnoteText"/>
        <w:spacing w:line="240" w:lineRule="auto"/>
        <w:contextualSpacing/>
        <w:rPr>
          <w:rFonts w:ascii="Times New Roman" w:hAnsi="Times New Roman"/>
          <w:sz w:val="24"/>
          <w:szCs w:val="24"/>
        </w:rPr>
      </w:pPr>
      <w:r w:rsidRPr="006C0D47">
        <w:rPr>
          <w:rStyle w:val="FootnoteReference"/>
          <w:rFonts w:ascii="Times New Roman" w:hAnsi="Times New Roman"/>
          <w:sz w:val="24"/>
          <w:szCs w:val="24"/>
        </w:rPr>
        <w:footnoteRef/>
      </w:r>
      <w:r w:rsidRPr="006C0D47">
        <w:rPr>
          <w:rFonts w:ascii="Times New Roman" w:hAnsi="Times New Roman"/>
          <w:sz w:val="24"/>
          <w:szCs w:val="24"/>
        </w:rPr>
        <w:t xml:space="preserve"> </w:t>
      </w:r>
      <w:r>
        <w:rPr>
          <w:rFonts w:ascii="Times New Roman" w:hAnsi="Times New Roman"/>
          <w:sz w:val="24"/>
          <w:szCs w:val="24"/>
        </w:rPr>
        <w:t xml:space="preserve">Declaration of Nicholas </w:t>
      </w:r>
      <w:proofErr w:type="spellStart"/>
      <w:r>
        <w:rPr>
          <w:rFonts w:ascii="Times New Roman" w:hAnsi="Times New Roman"/>
          <w:sz w:val="24"/>
          <w:szCs w:val="24"/>
        </w:rPr>
        <w:t>Begg</w:t>
      </w:r>
      <w:proofErr w:type="spellEnd"/>
      <w:r>
        <w:rPr>
          <w:rFonts w:ascii="Times New Roman" w:hAnsi="Times New Roman"/>
          <w:sz w:val="24"/>
          <w:szCs w:val="24"/>
        </w:rPr>
        <w:t xml:space="preserve"> (“</w:t>
      </w:r>
      <w:proofErr w:type="spellStart"/>
      <w:r>
        <w:rPr>
          <w:rFonts w:ascii="Times New Roman" w:hAnsi="Times New Roman"/>
          <w:sz w:val="24"/>
          <w:szCs w:val="24"/>
        </w:rPr>
        <w:t>Begg</w:t>
      </w:r>
      <w:proofErr w:type="spellEnd"/>
      <w:r>
        <w:rPr>
          <w:rFonts w:ascii="Times New Roman" w:hAnsi="Times New Roman"/>
          <w:sz w:val="24"/>
          <w:szCs w:val="24"/>
        </w:rPr>
        <w:t xml:space="preserve"> Dec.”), ¶4; Declaration of Marie Duggan (“Duggan Dec.”), ¶4; Declaration of Jonathan Chavez (“Chavez Dec.”), ¶4; Declaration of </w:t>
      </w:r>
      <w:proofErr w:type="spellStart"/>
      <w:r>
        <w:rPr>
          <w:rFonts w:ascii="Times New Roman" w:hAnsi="Times New Roman"/>
          <w:sz w:val="24"/>
          <w:szCs w:val="24"/>
        </w:rPr>
        <w:t>Alysa</w:t>
      </w:r>
      <w:proofErr w:type="spellEnd"/>
      <w:r>
        <w:rPr>
          <w:rFonts w:ascii="Times New Roman" w:hAnsi="Times New Roman"/>
          <w:sz w:val="24"/>
          <w:szCs w:val="24"/>
        </w:rPr>
        <w:t xml:space="preserve"> </w:t>
      </w:r>
      <w:proofErr w:type="spellStart"/>
      <w:r>
        <w:rPr>
          <w:rFonts w:ascii="Times New Roman" w:hAnsi="Times New Roman"/>
          <w:sz w:val="24"/>
          <w:szCs w:val="24"/>
        </w:rPr>
        <w:t>Shunstrom</w:t>
      </w:r>
      <w:proofErr w:type="spellEnd"/>
      <w:r>
        <w:rPr>
          <w:rFonts w:ascii="Times New Roman" w:hAnsi="Times New Roman"/>
          <w:sz w:val="24"/>
          <w:szCs w:val="24"/>
        </w:rPr>
        <w:t xml:space="preserve"> (“</w:t>
      </w:r>
      <w:proofErr w:type="spellStart"/>
      <w:r>
        <w:rPr>
          <w:rFonts w:ascii="Times New Roman" w:hAnsi="Times New Roman"/>
          <w:sz w:val="24"/>
          <w:szCs w:val="24"/>
        </w:rPr>
        <w:t>Shunstrom</w:t>
      </w:r>
      <w:proofErr w:type="spellEnd"/>
      <w:r>
        <w:rPr>
          <w:rFonts w:ascii="Times New Roman" w:hAnsi="Times New Roman"/>
          <w:sz w:val="24"/>
          <w:szCs w:val="24"/>
        </w:rPr>
        <w:t xml:space="preserve"> Dec.”), ¶4; Declaration of </w:t>
      </w:r>
      <w:proofErr w:type="spellStart"/>
      <w:r>
        <w:rPr>
          <w:rFonts w:ascii="Times New Roman" w:hAnsi="Times New Roman"/>
          <w:sz w:val="24"/>
          <w:szCs w:val="24"/>
        </w:rPr>
        <w:t>Annmarie</w:t>
      </w:r>
      <w:proofErr w:type="spellEnd"/>
      <w:r>
        <w:rPr>
          <w:rFonts w:ascii="Times New Roman" w:hAnsi="Times New Roman"/>
          <w:sz w:val="24"/>
          <w:szCs w:val="24"/>
        </w:rPr>
        <w:t xml:space="preserve"> Conroy (“Conroy Dec.”), ¶4; Declaration of Devin Galvan (“Galvan Dec.”), ¶4.</w:t>
      </w:r>
    </w:p>
  </w:footnote>
  <w:footnote w:id="17">
    <w:p w:rsidR="00AF6D98" w:rsidRPr="00D61C18" w:rsidRDefault="00AF6D98" w:rsidP="00D61C18">
      <w:pPr>
        <w:pStyle w:val="FootnoteText"/>
        <w:spacing w:line="240" w:lineRule="auto"/>
        <w:contextualSpacing/>
        <w:rPr>
          <w:rFonts w:ascii="Times New Roman" w:hAnsi="Times New Roman"/>
          <w:sz w:val="24"/>
          <w:szCs w:val="24"/>
        </w:rPr>
      </w:pPr>
      <w:r w:rsidRPr="00D61C18">
        <w:rPr>
          <w:rStyle w:val="FootnoteReference"/>
          <w:rFonts w:ascii="Times New Roman" w:hAnsi="Times New Roman"/>
          <w:sz w:val="24"/>
          <w:szCs w:val="24"/>
        </w:rPr>
        <w:footnoteRef/>
      </w:r>
      <w:r w:rsidRPr="00D61C18">
        <w:rPr>
          <w:rFonts w:ascii="Times New Roman" w:hAnsi="Times New Roman"/>
          <w:sz w:val="24"/>
          <w:szCs w:val="24"/>
        </w:rPr>
        <w:t xml:space="preserve"> Defendants’ MTD, pp. 3, 10.</w:t>
      </w:r>
    </w:p>
  </w:footnote>
  <w:footnote w:id="18">
    <w:p w:rsidR="00AF6D98" w:rsidRPr="005B5FD6" w:rsidRDefault="00AF6D98" w:rsidP="005B5FD6">
      <w:pPr>
        <w:pStyle w:val="FootnoteText"/>
        <w:spacing w:line="240" w:lineRule="auto"/>
        <w:contextualSpacing/>
        <w:rPr>
          <w:rFonts w:ascii="Times New Roman" w:hAnsi="Times New Roman"/>
          <w:sz w:val="24"/>
          <w:szCs w:val="24"/>
        </w:rPr>
      </w:pPr>
      <w:r w:rsidRPr="005B5FD6">
        <w:rPr>
          <w:rStyle w:val="FootnoteReference"/>
          <w:rFonts w:ascii="Times New Roman" w:hAnsi="Times New Roman"/>
          <w:sz w:val="24"/>
          <w:szCs w:val="24"/>
        </w:rPr>
        <w:footnoteRef/>
      </w:r>
      <w:r w:rsidRPr="005B5FD6">
        <w:rPr>
          <w:rFonts w:ascii="Times New Roman" w:hAnsi="Times New Roman"/>
          <w:sz w:val="24"/>
          <w:szCs w:val="24"/>
        </w:rPr>
        <w:t xml:space="preserve"> Odenbreit Dec., ¶7.</w:t>
      </w:r>
    </w:p>
  </w:footnote>
  <w:footnote w:id="19">
    <w:p w:rsidR="00AF6D98" w:rsidRPr="005B5FD6" w:rsidRDefault="00AF6D98" w:rsidP="005B5FD6">
      <w:pPr>
        <w:pStyle w:val="FootnoteText"/>
        <w:spacing w:line="240" w:lineRule="auto"/>
        <w:contextualSpacing/>
        <w:rPr>
          <w:rFonts w:ascii="Times New Roman" w:hAnsi="Times New Roman"/>
          <w:sz w:val="24"/>
          <w:szCs w:val="24"/>
        </w:rPr>
      </w:pPr>
      <w:r w:rsidRPr="005B5FD6">
        <w:rPr>
          <w:rStyle w:val="FootnoteReference"/>
          <w:rFonts w:ascii="Times New Roman" w:hAnsi="Times New Roman"/>
          <w:sz w:val="24"/>
          <w:szCs w:val="24"/>
        </w:rPr>
        <w:footnoteRef/>
      </w:r>
      <w:r w:rsidRPr="005B5FD6">
        <w:rPr>
          <w:rFonts w:ascii="Times New Roman" w:hAnsi="Times New Roman"/>
          <w:sz w:val="24"/>
          <w:szCs w:val="24"/>
        </w:rPr>
        <w:t xml:space="preserve"> Defendants’ MTD, Harding Dec., Ex. A</w:t>
      </w:r>
    </w:p>
  </w:footnote>
  <w:footnote w:id="20">
    <w:p w:rsidR="00AF6D98" w:rsidRPr="005B5FD6" w:rsidRDefault="00AF6D98" w:rsidP="005B5FD6">
      <w:pPr>
        <w:pStyle w:val="FootnoteText"/>
        <w:spacing w:line="240" w:lineRule="auto"/>
        <w:contextualSpacing/>
        <w:rPr>
          <w:rFonts w:ascii="Times New Roman" w:hAnsi="Times New Roman"/>
          <w:sz w:val="24"/>
          <w:szCs w:val="24"/>
        </w:rPr>
      </w:pPr>
      <w:r w:rsidRPr="005B5FD6">
        <w:rPr>
          <w:rStyle w:val="FootnoteReference"/>
          <w:rFonts w:ascii="Times New Roman" w:hAnsi="Times New Roman"/>
          <w:sz w:val="24"/>
          <w:szCs w:val="24"/>
        </w:rPr>
        <w:footnoteRef/>
      </w:r>
      <w:r w:rsidRPr="005B5FD6">
        <w:rPr>
          <w:rFonts w:ascii="Times New Roman" w:hAnsi="Times New Roman"/>
          <w:sz w:val="24"/>
          <w:szCs w:val="24"/>
        </w:rPr>
        <w:t xml:space="preserve"> Odenbreit Dec., ¶</w:t>
      </w:r>
      <w:r>
        <w:rPr>
          <w:rFonts w:ascii="Times New Roman" w:hAnsi="Times New Roman"/>
          <w:sz w:val="24"/>
          <w:szCs w:val="24"/>
        </w:rPr>
        <w:t>6.</w:t>
      </w:r>
    </w:p>
  </w:footnote>
  <w:footnote w:id="21">
    <w:p w:rsidR="00AF6D98" w:rsidRPr="007521E0" w:rsidRDefault="00AF6D98" w:rsidP="007521E0">
      <w:pPr>
        <w:pStyle w:val="FootnoteText"/>
        <w:spacing w:line="240" w:lineRule="auto"/>
        <w:contextualSpacing/>
        <w:rPr>
          <w:rFonts w:ascii="Times New Roman" w:hAnsi="Times New Roman"/>
          <w:sz w:val="24"/>
          <w:szCs w:val="24"/>
        </w:rPr>
      </w:pPr>
      <w:r w:rsidRPr="007521E0">
        <w:rPr>
          <w:rStyle w:val="FootnoteReference"/>
          <w:rFonts w:ascii="Times New Roman" w:hAnsi="Times New Roman"/>
          <w:sz w:val="24"/>
          <w:szCs w:val="24"/>
        </w:rPr>
        <w:footnoteRef/>
      </w:r>
      <w:r w:rsidRPr="007521E0">
        <w:rPr>
          <w:rFonts w:ascii="Times New Roman" w:hAnsi="Times New Roman"/>
          <w:sz w:val="24"/>
          <w:szCs w:val="24"/>
        </w:rPr>
        <w:t xml:space="preserve"> </w:t>
      </w:r>
      <w:proofErr w:type="spellStart"/>
      <w:r>
        <w:rPr>
          <w:rFonts w:ascii="Times New Roman" w:hAnsi="Times New Roman"/>
          <w:sz w:val="24"/>
          <w:szCs w:val="24"/>
        </w:rPr>
        <w:t>Begg</w:t>
      </w:r>
      <w:proofErr w:type="spellEnd"/>
      <w:r>
        <w:rPr>
          <w:rFonts w:ascii="Times New Roman" w:hAnsi="Times New Roman"/>
          <w:sz w:val="24"/>
          <w:szCs w:val="24"/>
        </w:rPr>
        <w:t xml:space="preserve"> Dec., ¶5; Duggan Dec., ¶5; Chavez Dec., ¶5; </w:t>
      </w:r>
      <w:proofErr w:type="spellStart"/>
      <w:r>
        <w:rPr>
          <w:rFonts w:ascii="Times New Roman" w:hAnsi="Times New Roman"/>
          <w:sz w:val="24"/>
          <w:szCs w:val="24"/>
        </w:rPr>
        <w:t>Shunstrom</w:t>
      </w:r>
      <w:proofErr w:type="spellEnd"/>
      <w:r>
        <w:rPr>
          <w:rFonts w:ascii="Times New Roman" w:hAnsi="Times New Roman"/>
          <w:sz w:val="24"/>
          <w:szCs w:val="24"/>
        </w:rPr>
        <w:t xml:space="preserve"> Dec., ¶6; Conroy Dec., ¶5 Galvan Dec., ¶5. </w:t>
      </w:r>
    </w:p>
  </w:footnote>
  <w:footnote w:id="22">
    <w:p w:rsidR="00AF6D98" w:rsidRPr="007521E0" w:rsidRDefault="00AF6D98" w:rsidP="007521E0">
      <w:pPr>
        <w:pStyle w:val="FootnoteText"/>
        <w:spacing w:line="240" w:lineRule="auto"/>
        <w:contextualSpacing/>
        <w:rPr>
          <w:rFonts w:ascii="Times New Roman" w:hAnsi="Times New Roman"/>
          <w:sz w:val="24"/>
          <w:szCs w:val="24"/>
        </w:rPr>
      </w:pPr>
      <w:r w:rsidRPr="007521E0">
        <w:rPr>
          <w:rStyle w:val="FootnoteReference"/>
          <w:rFonts w:ascii="Times New Roman" w:hAnsi="Times New Roman"/>
          <w:sz w:val="24"/>
          <w:szCs w:val="24"/>
        </w:rPr>
        <w:footnoteRef/>
      </w:r>
      <w:r>
        <w:rPr>
          <w:rFonts w:ascii="Times New Roman" w:hAnsi="Times New Roman"/>
          <w:sz w:val="24"/>
          <w:szCs w:val="24"/>
        </w:rPr>
        <w:t xml:space="preserve"> </w:t>
      </w:r>
      <w:proofErr w:type="spellStart"/>
      <w:r>
        <w:rPr>
          <w:rFonts w:ascii="Times New Roman" w:hAnsi="Times New Roman"/>
          <w:sz w:val="24"/>
          <w:szCs w:val="24"/>
        </w:rPr>
        <w:t>Begg</w:t>
      </w:r>
      <w:proofErr w:type="spellEnd"/>
      <w:r>
        <w:rPr>
          <w:rFonts w:ascii="Times New Roman" w:hAnsi="Times New Roman"/>
          <w:sz w:val="24"/>
          <w:szCs w:val="24"/>
        </w:rPr>
        <w:t xml:space="preserve"> Dec., ¶6; Duggan Dec., ¶6; Chavez Dec., ¶6; </w:t>
      </w:r>
      <w:proofErr w:type="spellStart"/>
      <w:r>
        <w:rPr>
          <w:rFonts w:ascii="Times New Roman" w:hAnsi="Times New Roman"/>
          <w:sz w:val="24"/>
          <w:szCs w:val="24"/>
        </w:rPr>
        <w:t>Shunstrom</w:t>
      </w:r>
      <w:proofErr w:type="spellEnd"/>
      <w:r>
        <w:rPr>
          <w:rFonts w:ascii="Times New Roman" w:hAnsi="Times New Roman"/>
          <w:sz w:val="24"/>
          <w:szCs w:val="24"/>
        </w:rPr>
        <w:t xml:space="preserve"> Dec., ¶7; Conroy Dec., ¶6; Galvan Dec., ¶6.</w:t>
      </w:r>
    </w:p>
  </w:footnote>
  <w:footnote w:id="23">
    <w:p w:rsidR="00AF6D98" w:rsidRPr="009F0320" w:rsidRDefault="00AF6D98" w:rsidP="0050166F">
      <w:pPr>
        <w:pStyle w:val="FootnoteText"/>
        <w:spacing w:line="240" w:lineRule="auto"/>
        <w:contextualSpacing/>
        <w:rPr>
          <w:rFonts w:ascii="Times New Roman" w:hAnsi="Times New Roman"/>
          <w:sz w:val="24"/>
          <w:szCs w:val="24"/>
        </w:rPr>
      </w:pPr>
      <w:r w:rsidRPr="009F0320">
        <w:rPr>
          <w:rStyle w:val="FootnoteReference"/>
          <w:rFonts w:ascii="Times New Roman" w:hAnsi="Times New Roman"/>
          <w:sz w:val="24"/>
          <w:szCs w:val="24"/>
        </w:rPr>
        <w:footnoteRef/>
      </w:r>
      <w:r w:rsidRPr="009F0320">
        <w:rPr>
          <w:rFonts w:ascii="Times New Roman" w:hAnsi="Times New Roman"/>
          <w:sz w:val="24"/>
          <w:szCs w:val="24"/>
        </w:rPr>
        <w:t xml:space="preserve"> </w:t>
      </w:r>
      <w:proofErr w:type="spellStart"/>
      <w:r w:rsidRPr="009F0320">
        <w:rPr>
          <w:rFonts w:ascii="Times New Roman" w:hAnsi="Times New Roman"/>
          <w:sz w:val="24"/>
          <w:szCs w:val="24"/>
        </w:rPr>
        <w:t>OdenbreitDec</w:t>
      </w:r>
      <w:proofErr w:type="spellEnd"/>
      <w:r w:rsidRPr="009F0320">
        <w:rPr>
          <w:rFonts w:ascii="Times New Roman" w:hAnsi="Times New Roman"/>
          <w:sz w:val="24"/>
          <w:szCs w:val="24"/>
        </w:rPr>
        <w:t xml:space="preserve">., </w:t>
      </w:r>
      <w:r>
        <w:rPr>
          <w:rFonts w:ascii="Times New Roman" w:hAnsi="Times New Roman"/>
          <w:sz w:val="24"/>
          <w:szCs w:val="24"/>
        </w:rPr>
        <w:t xml:space="preserve">¶8, </w:t>
      </w:r>
      <w:r w:rsidRPr="009F0320">
        <w:rPr>
          <w:rFonts w:ascii="Times New Roman" w:hAnsi="Times New Roman"/>
          <w:sz w:val="24"/>
          <w:szCs w:val="24"/>
        </w:rPr>
        <w:t xml:space="preserve">Ex. </w:t>
      </w:r>
      <w:r>
        <w:rPr>
          <w:rFonts w:ascii="Times New Roman" w:hAnsi="Times New Roman"/>
          <w:sz w:val="24"/>
          <w:szCs w:val="24"/>
        </w:rPr>
        <w:t>4</w:t>
      </w:r>
      <w:r w:rsidRPr="009F0320">
        <w:rPr>
          <w:rFonts w:ascii="Times New Roman" w:hAnsi="Times New Roman"/>
          <w:sz w:val="24"/>
          <w:szCs w:val="24"/>
        </w:rPr>
        <w:t>: Arbitration agreement</w:t>
      </w:r>
    </w:p>
  </w:footnote>
  <w:footnote w:id="24">
    <w:p w:rsidR="00AF6D98" w:rsidRPr="009F0320" w:rsidRDefault="00AF6D98" w:rsidP="0050166F">
      <w:pPr>
        <w:pStyle w:val="FootnoteText"/>
        <w:spacing w:line="240" w:lineRule="auto"/>
        <w:contextualSpacing/>
        <w:rPr>
          <w:rFonts w:ascii="Times New Roman" w:hAnsi="Times New Roman"/>
          <w:sz w:val="24"/>
          <w:szCs w:val="24"/>
        </w:rPr>
      </w:pPr>
      <w:r w:rsidRPr="009F0320">
        <w:rPr>
          <w:rStyle w:val="FootnoteReference"/>
          <w:rFonts w:ascii="Times New Roman" w:hAnsi="Times New Roman"/>
          <w:sz w:val="24"/>
          <w:szCs w:val="24"/>
        </w:rPr>
        <w:footnoteRef/>
      </w:r>
      <w:r w:rsidRPr="009F0320">
        <w:rPr>
          <w:rFonts w:ascii="Times New Roman" w:hAnsi="Times New Roman"/>
          <w:sz w:val="24"/>
          <w:szCs w:val="24"/>
        </w:rPr>
        <w:t xml:space="preserve"> Odenbreit Dec., </w:t>
      </w:r>
      <w:r>
        <w:rPr>
          <w:rFonts w:ascii="Times New Roman" w:hAnsi="Times New Roman"/>
          <w:sz w:val="24"/>
          <w:szCs w:val="24"/>
        </w:rPr>
        <w:t>¶9, Ex. 5; ¶10, Ex. 6; ¶11, Ex. 7; ¶12,  Ex. 8; ¶13, Ex. 9.</w:t>
      </w:r>
    </w:p>
  </w:footnote>
  <w:footnote w:id="25">
    <w:p w:rsidR="00AF6D98" w:rsidRPr="009C2DC6" w:rsidRDefault="00AF6D98" w:rsidP="009C2DC6">
      <w:pPr>
        <w:pStyle w:val="FootnoteText"/>
        <w:spacing w:line="240" w:lineRule="auto"/>
        <w:contextualSpacing/>
        <w:rPr>
          <w:rFonts w:ascii="Times New Roman" w:hAnsi="Times New Roman"/>
          <w:sz w:val="24"/>
          <w:szCs w:val="24"/>
        </w:rPr>
      </w:pPr>
      <w:r w:rsidRPr="002C4F70">
        <w:rPr>
          <w:rStyle w:val="FootnoteReference"/>
          <w:rFonts w:ascii="Times New Roman" w:hAnsi="Times New Roman"/>
          <w:sz w:val="24"/>
          <w:szCs w:val="24"/>
        </w:rPr>
        <w:footnoteRef/>
      </w:r>
      <w:r w:rsidRPr="002C4F70">
        <w:rPr>
          <w:rFonts w:ascii="Times New Roman" w:hAnsi="Times New Roman"/>
          <w:sz w:val="24"/>
          <w:szCs w:val="24"/>
        </w:rPr>
        <w:t xml:space="preserve"> Federal courts apply state law when determining matters of attorney disqualification.</w:t>
      </w:r>
      <w:r>
        <w:rPr>
          <w:rFonts w:ascii="Times New Roman" w:hAnsi="Times New Roman"/>
          <w:sz w:val="24"/>
          <w:szCs w:val="24"/>
        </w:rPr>
        <w:t xml:space="preserve"> </w:t>
      </w:r>
      <w:r>
        <w:rPr>
          <w:rFonts w:ascii="Times New Roman" w:hAnsi="Times New Roman"/>
          <w:i/>
          <w:sz w:val="24"/>
          <w:szCs w:val="24"/>
        </w:rPr>
        <w:t xml:space="preserve">Sharma v. VW Credit, Inc. </w:t>
      </w:r>
      <w:r>
        <w:rPr>
          <w:rFonts w:ascii="Times New Roman" w:hAnsi="Times New Roman"/>
          <w:sz w:val="24"/>
          <w:szCs w:val="24"/>
        </w:rPr>
        <w:t>2013 WL 1163801 *1 (</w:t>
      </w:r>
      <w:proofErr w:type="spellStart"/>
      <w:r>
        <w:rPr>
          <w:rFonts w:ascii="Times New Roman" w:hAnsi="Times New Roman"/>
          <w:sz w:val="24"/>
          <w:szCs w:val="24"/>
        </w:rPr>
        <w:t>C.D.Cal</w:t>
      </w:r>
      <w:proofErr w:type="spellEnd"/>
      <w:r>
        <w:rPr>
          <w:rFonts w:ascii="Times New Roman" w:hAnsi="Times New Roman"/>
          <w:sz w:val="24"/>
          <w:szCs w:val="24"/>
        </w:rPr>
        <w:t>., Mar. 20, 2013</w:t>
      </w:r>
      <w:r w:rsidRPr="009C2DC6">
        <w:rPr>
          <w:rFonts w:ascii="Times New Roman" w:hAnsi="Times New Roman"/>
          <w:sz w:val="24"/>
          <w:szCs w:val="24"/>
        </w:rPr>
        <w:t xml:space="preserve">).  </w:t>
      </w:r>
    </w:p>
  </w:footnote>
  <w:footnote w:id="26">
    <w:p w:rsidR="00AF6D98" w:rsidRPr="00B37772" w:rsidRDefault="00AF6D98" w:rsidP="00B37772">
      <w:pPr>
        <w:pStyle w:val="FootnoteText"/>
        <w:spacing w:line="240" w:lineRule="auto"/>
        <w:contextualSpacing/>
        <w:rPr>
          <w:rFonts w:ascii="Times New Roman" w:hAnsi="Times New Roman"/>
          <w:sz w:val="24"/>
          <w:szCs w:val="24"/>
        </w:rPr>
      </w:pPr>
      <w:r w:rsidRPr="009C2DC6">
        <w:rPr>
          <w:rStyle w:val="FootnoteReference"/>
          <w:rFonts w:ascii="Times New Roman" w:hAnsi="Times New Roman"/>
          <w:sz w:val="24"/>
          <w:szCs w:val="24"/>
        </w:rPr>
        <w:footnoteRef/>
      </w:r>
      <w:r w:rsidRPr="009C2DC6">
        <w:rPr>
          <w:rFonts w:ascii="Times New Roman" w:hAnsi="Times New Roman"/>
          <w:sz w:val="24"/>
          <w:szCs w:val="24"/>
        </w:rPr>
        <w:t xml:space="preserve"> Defendants’ MTD, p. 1:16-18.</w:t>
      </w:r>
    </w:p>
  </w:footnote>
  <w:footnote w:id="27">
    <w:p w:rsidR="00AF6D98" w:rsidRPr="002B04DA" w:rsidRDefault="00AF6D98" w:rsidP="002B04DA">
      <w:pPr>
        <w:pStyle w:val="FootnoteText"/>
        <w:spacing w:line="240" w:lineRule="auto"/>
        <w:contextualSpacing/>
        <w:rPr>
          <w:rFonts w:ascii="Times New Roman" w:hAnsi="Times New Roman"/>
          <w:sz w:val="24"/>
          <w:szCs w:val="24"/>
        </w:rPr>
      </w:pPr>
      <w:r w:rsidRPr="00B37772">
        <w:rPr>
          <w:rStyle w:val="FootnoteReference"/>
          <w:rFonts w:ascii="Times New Roman" w:hAnsi="Times New Roman"/>
          <w:sz w:val="24"/>
          <w:szCs w:val="24"/>
        </w:rPr>
        <w:footnoteRef/>
      </w:r>
      <w:r>
        <w:rPr>
          <w:rFonts w:ascii="Times New Roman" w:hAnsi="Times New Roman"/>
          <w:sz w:val="24"/>
          <w:szCs w:val="24"/>
        </w:rPr>
        <w:t xml:space="preserve"> Odenbreit Dec., ¶9, Ex. 5; ¶10, Ex. 6; ¶11, Ex. 7; ¶12,  Ex. 8; ¶13, Ex. 9.</w:t>
      </w:r>
    </w:p>
  </w:footnote>
  <w:footnote w:id="28">
    <w:p w:rsidR="00AF6D98" w:rsidRPr="00791FD5" w:rsidRDefault="00AF6D98" w:rsidP="00791FD5">
      <w:pPr>
        <w:pStyle w:val="FootnoteText"/>
        <w:spacing w:line="240" w:lineRule="auto"/>
        <w:contextualSpacing/>
        <w:rPr>
          <w:rFonts w:ascii="Times New Roman" w:hAnsi="Times New Roman"/>
          <w:sz w:val="24"/>
          <w:szCs w:val="24"/>
        </w:rPr>
      </w:pPr>
      <w:r w:rsidRPr="002B04DA">
        <w:rPr>
          <w:rStyle w:val="FootnoteReference"/>
          <w:rFonts w:ascii="Times New Roman" w:hAnsi="Times New Roman"/>
          <w:sz w:val="24"/>
          <w:szCs w:val="24"/>
        </w:rPr>
        <w:footnoteRef/>
      </w:r>
      <w:r w:rsidRPr="002B04DA">
        <w:rPr>
          <w:rFonts w:ascii="Times New Roman" w:hAnsi="Times New Roman"/>
          <w:sz w:val="24"/>
          <w:szCs w:val="24"/>
        </w:rPr>
        <w:t xml:space="preserve"> Odenbreit Dec.,</w:t>
      </w:r>
      <w:r>
        <w:rPr>
          <w:rFonts w:ascii="Times New Roman" w:hAnsi="Times New Roman"/>
          <w:sz w:val="24"/>
          <w:szCs w:val="24"/>
        </w:rPr>
        <w:t xml:space="preserve"> ¶2, </w:t>
      </w:r>
      <w:r w:rsidRPr="002B04DA">
        <w:rPr>
          <w:rFonts w:ascii="Times New Roman" w:hAnsi="Times New Roman"/>
          <w:sz w:val="24"/>
          <w:szCs w:val="24"/>
        </w:rPr>
        <w:t>Ex. 1: 22:23-24.</w:t>
      </w:r>
    </w:p>
  </w:footnote>
  <w:footnote w:id="29">
    <w:p w:rsidR="00AF6D98" w:rsidRPr="00791FD5" w:rsidRDefault="00AF6D98" w:rsidP="00791FD5">
      <w:pPr>
        <w:pStyle w:val="FootnoteText"/>
        <w:spacing w:line="240" w:lineRule="auto"/>
        <w:contextualSpacing/>
        <w:rPr>
          <w:rFonts w:ascii="Times New Roman" w:hAnsi="Times New Roman"/>
          <w:sz w:val="24"/>
          <w:szCs w:val="24"/>
        </w:rPr>
      </w:pPr>
      <w:r w:rsidRPr="00791FD5">
        <w:rPr>
          <w:rStyle w:val="FootnoteReference"/>
          <w:rFonts w:ascii="Times New Roman" w:hAnsi="Times New Roman"/>
          <w:sz w:val="24"/>
          <w:szCs w:val="24"/>
        </w:rPr>
        <w:footnoteRef/>
      </w:r>
      <w:r w:rsidRPr="00791FD5">
        <w:rPr>
          <w:rFonts w:ascii="Times New Roman" w:hAnsi="Times New Roman"/>
          <w:sz w:val="24"/>
          <w:szCs w:val="24"/>
        </w:rPr>
        <w:t xml:space="preserve"> Odenbreit Dec., ¶</w:t>
      </w:r>
      <w:r>
        <w:rPr>
          <w:rFonts w:ascii="Times New Roman" w:hAnsi="Times New Roman"/>
          <w:sz w:val="24"/>
          <w:szCs w:val="24"/>
        </w:rPr>
        <w:t>5,</w:t>
      </w:r>
      <w:r w:rsidRPr="00791FD5">
        <w:rPr>
          <w:rFonts w:ascii="Times New Roman" w:hAnsi="Times New Roman"/>
          <w:sz w:val="24"/>
          <w:szCs w:val="24"/>
        </w:rPr>
        <w:t xml:space="preserve"> Ex. </w:t>
      </w:r>
      <w:r>
        <w:rPr>
          <w:rFonts w:ascii="Times New Roman" w:hAnsi="Times New Roman"/>
          <w:sz w:val="24"/>
          <w:szCs w:val="24"/>
        </w:rPr>
        <w:t>3:</w:t>
      </w:r>
      <w:r w:rsidRPr="00791FD5">
        <w:rPr>
          <w:rFonts w:ascii="Times New Roman" w:hAnsi="Times New Roman"/>
          <w:sz w:val="24"/>
          <w:szCs w:val="24"/>
        </w:rPr>
        <w:t xml:space="preserve"> 11:13-18.</w:t>
      </w:r>
    </w:p>
  </w:footnote>
  <w:footnote w:id="30">
    <w:p w:rsidR="00AF6D98" w:rsidRPr="00CA2B87" w:rsidRDefault="00AF6D98" w:rsidP="00CA2B87">
      <w:pPr>
        <w:pStyle w:val="FootnoteText"/>
        <w:spacing w:line="240" w:lineRule="auto"/>
        <w:contextualSpacing/>
        <w:rPr>
          <w:rFonts w:ascii="Times New Roman" w:hAnsi="Times New Roman"/>
          <w:sz w:val="24"/>
          <w:szCs w:val="24"/>
        </w:rPr>
      </w:pPr>
      <w:r w:rsidRPr="00CA2B87">
        <w:rPr>
          <w:rStyle w:val="FootnoteReference"/>
          <w:rFonts w:ascii="Times New Roman" w:hAnsi="Times New Roman"/>
          <w:sz w:val="24"/>
          <w:szCs w:val="24"/>
        </w:rPr>
        <w:footnoteRef/>
      </w:r>
      <w:r w:rsidRPr="00CA2B87">
        <w:rPr>
          <w:rFonts w:ascii="Times New Roman" w:hAnsi="Times New Roman"/>
          <w:sz w:val="24"/>
          <w:szCs w:val="24"/>
        </w:rPr>
        <w:t xml:space="preserve"> Odenbreit Dec., ¶</w:t>
      </w:r>
      <w:r>
        <w:rPr>
          <w:rFonts w:ascii="Times New Roman" w:hAnsi="Times New Roman"/>
          <w:sz w:val="24"/>
          <w:szCs w:val="24"/>
        </w:rPr>
        <w:t>14.</w:t>
      </w:r>
    </w:p>
  </w:footnote>
  <w:footnote w:id="31">
    <w:p w:rsidR="00AF6D98" w:rsidRPr="005A16BE" w:rsidRDefault="00AF6D98" w:rsidP="005A16BE">
      <w:pPr>
        <w:pStyle w:val="FootnoteText"/>
        <w:spacing w:line="240" w:lineRule="auto"/>
        <w:contextualSpacing/>
        <w:rPr>
          <w:rFonts w:ascii="Times New Roman" w:hAnsi="Times New Roman"/>
          <w:sz w:val="24"/>
          <w:szCs w:val="24"/>
        </w:rPr>
      </w:pPr>
      <w:r w:rsidRPr="007D0FFE">
        <w:rPr>
          <w:rStyle w:val="FootnoteReference"/>
          <w:rFonts w:ascii="Times New Roman" w:hAnsi="Times New Roman"/>
          <w:sz w:val="24"/>
          <w:szCs w:val="24"/>
        </w:rPr>
        <w:footnoteRef/>
      </w:r>
      <w:r w:rsidRPr="007D0FFE">
        <w:rPr>
          <w:rFonts w:ascii="Times New Roman" w:hAnsi="Times New Roman"/>
          <w:sz w:val="24"/>
          <w:szCs w:val="24"/>
        </w:rPr>
        <w:t xml:space="preserve"> PRJN, Ex. </w:t>
      </w:r>
      <w:r>
        <w:rPr>
          <w:rFonts w:ascii="Times New Roman" w:hAnsi="Times New Roman"/>
          <w:sz w:val="24"/>
          <w:szCs w:val="24"/>
        </w:rPr>
        <w:t>2</w:t>
      </w:r>
      <w:r w:rsidRPr="007D0FFE">
        <w:rPr>
          <w:rFonts w:ascii="Times New Roman" w:hAnsi="Times New Roman"/>
          <w:sz w:val="24"/>
          <w:szCs w:val="24"/>
        </w:rPr>
        <w:t xml:space="preserve">-Filed April 29, 2016; Ex. </w:t>
      </w:r>
      <w:r>
        <w:rPr>
          <w:rFonts w:ascii="Times New Roman" w:hAnsi="Times New Roman"/>
          <w:sz w:val="24"/>
          <w:szCs w:val="24"/>
        </w:rPr>
        <w:t>3</w:t>
      </w:r>
      <w:r w:rsidRPr="007D0FFE">
        <w:rPr>
          <w:rFonts w:ascii="Times New Roman" w:hAnsi="Times New Roman"/>
          <w:sz w:val="24"/>
          <w:szCs w:val="24"/>
        </w:rPr>
        <w:t xml:space="preserve">-Filed June 3, 2016; Ex. </w:t>
      </w:r>
      <w:r>
        <w:rPr>
          <w:rFonts w:ascii="Times New Roman" w:hAnsi="Times New Roman"/>
          <w:sz w:val="24"/>
          <w:szCs w:val="24"/>
        </w:rPr>
        <w:t xml:space="preserve">4, </w:t>
      </w:r>
      <w:proofErr w:type="spellStart"/>
      <w:r>
        <w:rPr>
          <w:rFonts w:ascii="Times New Roman" w:hAnsi="Times New Roman"/>
          <w:sz w:val="24"/>
          <w:szCs w:val="24"/>
        </w:rPr>
        <w:t>Defendants’Ex</w:t>
      </w:r>
      <w:proofErr w:type="spellEnd"/>
      <w:r>
        <w:rPr>
          <w:rFonts w:ascii="Times New Roman" w:hAnsi="Times New Roman"/>
          <w:sz w:val="24"/>
          <w:szCs w:val="24"/>
        </w:rPr>
        <w:t xml:space="preserve"> Parte Application for Continuance and for Order Shortening Time on Safe Harbor Provision of CCP §127.8 -Filed June 10, 2016; Ex. 7, </w:t>
      </w:r>
      <w:proofErr w:type="spellStart"/>
      <w:r>
        <w:rPr>
          <w:rFonts w:ascii="Times New Roman" w:hAnsi="Times New Roman"/>
          <w:sz w:val="24"/>
          <w:szCs w:val="24"/>
        </w:rPr>
        <w:t>Defenants</w:t>
      </w:r>
      <w:proofErr w:type="spellEnd"/>
      <w:r>
        <w:rPr>
          <w:rFonts w:ascii="Times New Roman" w:hAnsi="Times New Roman"/>
          <w:sz w:val="24"/>
          <w:szCs w:val="24"/>
        </w:rPr>
        <w:t xml:space="preserve">’ Ex Parte Application for Order Shortening Time on Safe Harbor Provision of CCP §127.8 </w:t>
      </w:r>
      <w:r w:rsidRPr="007D0FFE">
        <w:rPr>
          <w:rFonts w:ascii="Times New Roman" w:hAnsi="Times New Roman"/>
          <w:sz w:val="24"/>
          <w:szCs w:val="24"/>
        </w:rPr>
        <w:t>-</w:t>
      </w:r>
      <w:r>
        <w:rPr>
          <w:rFonts w:ascii="Times New Roman" w:hAnsi="Times New Roman"/>
          <w:sz w:val="24"/>
          <w:szCs w:val="24"/>
        </w:rPr>
        <w:t xml:space="preserve"> </w:t>
      </w:r>
      <w:r w:rsidRPr="007D0FFE">
        <w:rPr>
          <w:rFonts w:ascii="Times New Roman" w:hAnsi="Times New Roman"/>
          <w:sz w:val="24"/>
          <w:szCs w:val="24"/>
        </w:rPr>
        <w:t>Filed June 2</w:t>
      </w:r>
      <w:r>
        <w:rPr>
          <w:rFonts w:ascii="Times New Roman" w:hAnsi="Times New Roman"/>
          <w:sz w:val="24"/>
          <w:szCs w:val="24"/>
        </w:rPr>
        <w:t>0</w:t>
      </w:r>
      <w:r w:rsidRPr="007D0FFE">
        <w:rPr>
          <w:rFonts w:ascii="Times New Roman" w:hAnsi="Times New Roman"/>
          <w:sz w:val="24"/>
          <w:szCs w:val="24"/>
        </w:rPr>
        <w:t>, 201</w:t>
      </w:r>
      <w:r>
        <w:rPr>
          <w:rFonts w:ascii="Times New Roman" w:hAnsi="Times New Roman"/>
          <w:sz w:val="24"/>
          <w:szCs w:val="24"/>
        </w:rPr>
        <w:t>6</w:t>
      </w:r>
      <w:r w:rsidRPr="007D0FFE">
        <w:rPr>
          <w:rFonts w:ascii="Times New Roman" w:hAnsi="Times New Roman"/>
          <w:sz w:val="24"/>
          <w:szCs w:val="24"/>
        </w:rPr>
        <w:t>; Ex. :</w:t>
      </w:r>
      <w:r>
        <w:rPr>
          <w:rFonts w:ascii="Times New Roman" w:hAnsi="Times New Roman"/>
          <w:sz w:val="24"/>
          <w:szCs w:val="24"/>
        </w:rPr>
        <w:t>8, Defendants’ Opposition to Plaintiffs’ Motion to Disqualify – Filed June 27, 2016</w:t>
      </w:r>
      <w:r w:rsidRPr="007D0FFE">
        <w:rPr>
          <w:rFonts w:ascii="Times New Roman" w:hAnsi="Times New Roman"/>
          <w:sz w:val="24"/>
          <w:szCs w:val="24"/>
        </w:rPr>
        <w:t xml:space="preserve">. </w:t>
      </w:r>
    </w:p>
  </w:footnote>
  <w:footnote w:id="32">
    <w:p w:rsidR="00AF6D98" w:rsidRPr="005A16BE" w:rsidRDefault="00AF6D98" w:rsidP="005A16BE">
      <w:pPr>
        <w:pStyle w:val="FootnoteText"/>
        <w:spacing w:line="240" w:lineRule="auto"/>
        <w:contextualSpacing/>
        <w:rPr>
          <w:rFonts w:ascii="Times New Roman" w:hAnsi="Times New Roman"/>
          <w:sz w:val="24"/>
          <w:szCs w:val="24"/>
        </w:rPr>
      </w:pPr>
      <w:r w:rsidRPr="005A16BE">
        <w:rPr>
          <w:rStyle w:val="FootnoteReference"/>
          <w:rFonts w:ascii="Times New Roman" w:hAnsi="Times New Roman"/>
          <w:sz w:val="24"/>
          <w:szCs w:val="24"/>
        </w:rPr>
        <w:footnoteRef/>
      </w:r>
      <w:r w:rsidRPr="005A16BE">
        <w:rPr>
          <w:rFonts w:ascii="Times New Roman" w:hAnsi="Times New Roman"/>
          <w:sz w:val="24"/>
          <w:szCs w:val="24"/>
        </w:rPr>
        <w:t xml:space="preserve"> Odenbreit Dec., ¶</w:t>
      </w:r>
      <w:r>
        <w:rPr>
          <w:rFonts w:ascii="Times New Roman" w:hAnsi="Times New Roman"/>
          <w:sz w:val="24"/>
          <w:szCs w:val="24"/>
        </w:rPr>
        <w:t>15.</w:t>
      </w:r>
    </w:p>
  </w:footnote>
  <w:footnote w:id="33">
    <w:p w:rsidR="00AF6D98" w:rsidRPr="007D0FFE" w:rsidRDefault="00AF6D98" w:rsidP="007D0FFE">
      <w:pPr>
        <w:pStyle w:val="FootnoteText"/>
        <w:spacing w:line="240" w:lineRule="auto"/>
        <w:contextualSpacing/>
        <w:rPr>
          <w:rFonts w:ascii="Times New Roman" w:hAnsi="Times New Roman"/>
          <w:sz w:val="24"/>
          <w:szCs w:val="24"/>
        </w:rPr>
      </w:pPr>
      <w:r w:rsidRPr="007D0FFE">
        <w:rPr>
          <w:rStyle w:val="FootnoteReference"/>
          <w:rFonts w:ascii="Times New Roman" w:hAnsi="Times New Roman"/>
          <w:sz w:val="24"/>
          <w:szCs w:val="24"/>
        </w:rPr>
        <w:footnoteRef/>
      </w:r>
      <w:r w:rsidRPr="007D0FFE">
        <w:rPr>
          <w:rFonts w:ascii="Times New Roman" w:hAnsi="Times New Roman"/>
          <w:sz w:val="24"/>
          <w:szCs w:val="24"/>
        </w:rPr>
        <w:t xml:space="preserve"> Odenbreit Dec., ¶ </w:t>
      </w:r>
      <w:r>
        <w:rPr>
          <w:rFonts w:ascii="Times New Roman" w:hAnsi="Times New Roman"/>
          <w:sz w:val="24"/>
          <w:szCs w:val="24"/>
        </w:rPr>
        <w:t>5,</w:t>
      </w:r>
      <w:r w:rsidRPr="007D0FFE">
        <w:rPr>
          <w:rFonts w:ascii="Times New Roman" w:hAnsi="Times New Roman"/>
          <w:sz w:val="24"/>
          <w:szCs w:val="24"/>
        </w:rPr>
        <w:t xml:space="preserve"> Ex. </w:t>
      </w:r>
      <w:r>
        <w:rPr>
          <w:rFonts w:ascii="Times New Roman" w:hAnsi="Times New Roman"/>
          <w:sz w:val="24"/>
          <w:szCs w:val="24"/>
        </w:rPr>
        <w:t>3</w:t>
      </w:r>
      <w:r w:rsidRPr="007D0FFE">
        <w:rPr>
          <w:rFonts w:ascii="Times New Roman" w:hAnsi="Times New Roman"/>
          <w:sz w:val="24"/>
          <w:szCs w:val="24"/>
        </w:rPr>
        <w:t>:RT, Feb. 17, 2016, 16:2-17:8.</w:t>
      </w:r>
    </w:p>
  </w:footnote>
  <w:footnote w:id="34">
    <w:p w:rsidR="00AF6D98" w:rsidRPr="00837E39" w:rsidRDefault="00AF6D98" w:rsidP="00837E39">
      <w:pPr>
        <w:pStyle w:val="FootnoteText"/>
        <w:spacing w:line="240" w:lineRule="auto"/>
        <w:contextualSpacing/>
        <w:rPr>
          <w:rFonts w:ascii="Times New Roman" w:hAnsi="Times New Roman"/>
          <w:sz w:val="24"/>
          <w:szCs w:val="24"/>
        </w:rPr>
      </w:pPr>
      <w:r w:rsidRPr="007D0FFE">
        <w:rPr>
          <w:rStyle w:val="FootnoteReference"/>
          <w:rFonts w:ascii="Times New Roman" w:hAnsi="Times New Roman"/>
          <w:sz w:val="24"/>
          <w:szCs w:val="24"/>
        </w:rPr>
        <w:footnoteRef/>
      </w:r>
      <w:r w:rsidRPr="007D0FFE">
        <w:rPr>
          <w:rFonts w:ascii="Times New Roman" w:hAnsi="Times New Roman"/>
          <w:sz w:val="24"/>
          <w:szCs w:val="24"/>
        </w:rPr>
        <w:t xml:space="preserve"> Odenbreit Dec., ¶ </w:t>
      </w:r>
      <w:r>
        <w:rPr>
          <w:rFonts w:ascii="Times New Roman" w:hAnsi="Times New Roman"/>
          <w:sz w:val="24"/>
          <w:szCs w:val="24"/>
        </w:rPr>
        <w:t>5</w:t>
      </w:r>
      <w:r w:rsidRPr="007D0FFE">
        <w:rPr>
          <w:rFonts w:ascii="Times New Roman" w:hAnsi="Times New Roman"/>
          <w:sz w:val="24"/>
          <w:szCs w:val="24"/>
        </w:rPr>
        <w:t xml:space="preserve">, Ex. </w:t>
      </w:r>
      <w:r>
        <w:rPr>
          <w:rFonts w:ascii="Times New Roman" w:hAnsi="Times New Roman"/>
          <w:sz w:val="24"/>
          <w:szCs w:val="24"/>
        </w:rPr>
        <w:t>3</w:t>
      </w:r>
      <w:r w:rsidRPr="007D0FFE">
        <w:rPr>
          <w:rFonts w:ascii="Times New Roman" w:hAnsi="Times New Roman"/>
          <w:sz w:val="24"/>
          <w:szCs w:val="24"/>
        </w:rPr>
        <w:t>:17:9-19, 21:10-25.</w:t>
      </w:r>
    </w:p>
  </w:footnote>
  <w:footnote w:id="35">
    <w:p w:rsidR="00AF6D98" w:rsidRPr="00837E39" w:rsidRDefault="00AF6D98" w:rsidP="00837E39">
      <w:pPr>
        <w:pStyle w:val="FootnoteText"/>
        <w:spacing w:line="240" w:lineRule="auto"/>
        <w:contextualSpacing/>
        <w:rPr>
          <w:rFonts w:ascii="Times New Roman" w:hAnsi="Times New Roman"/>
          <w:sz w:val="24"/>
          <w:szCs w:val="24"/>
        </w:rPr>
      </w:pPr>
      <w:r w:rsidRPr="00837E39">
        <w:rPr>
          <w:rStyle w:val="FootnoteReference"/>
          <w:rFonts w:ascii="Times New Roman" w:hAnsi="Times New Roman"/>
          <w:sz w:val="24"/>
          <w:szCs w:val="24"/>
        </w:rPr>
        <w:footnoteRef/>
      </w:r>
      <w:r w:rsidRPr="00837E39">
        <w:rPr>
          <w:rFonts w:ascii="Times New Roman" w:hAnsi="Times New Roman"/>
          <w:sz w:val="24"/>
          <w:szCs w:val="24"/>
        </w:rPr>
        <w:t xml:space="preserve"> PRJN, Ex. </w:t>
      </w:r>
      <w:r>
        <w:rPr>
          <w:rFonts w:ascii="Times New Roman" w:hAnsi="Times New Roman"/>
          <w:sz w:val="24"/>
          <w:szCs w:val="24"/>
        </w:rPr>
        <w:t>2</w:t>
      </w:r>
      <w:r w:rsidRPr="00837E39">
        <w:rPr>
          <w:rFonts w:ascii="Times New Roman" w:hAnsi="Times New Roman"/>
          <w:sz w:val="24"/>
          <w:szCs w:val="24"/>
        </w:rPr>
        <w:t xml:space="preserve">, 22:25-27. </w:t>
      </w:r>
    </w:p>
  </w:footnote>
  <w:footnote w:id="36">
    <w:p w:rsidR="00AF6D98" w:rsidRPr="00C541C1" w:rsidRDefault="00AF6D98" w:rsidP="00C541C1">
      <w:pPr>
        <w:pStyle w:val="FootnoteText"/>
        <w:spacing w:line="240" w:lineRule="auto"/>
        <w:contextualSpacing/>
        <w:rPr>
          <w:rFonts w:ascii="Times New Roman" w:hAnsi="Times New Roman"/>
          <w:sz w:val="24"/>
          <w:szCs w:val="24"/>
        </w:rPr>
      </w:pPr>
      <w:r w:rsidRPr="00837E39">
        <w:rPr>
          <w:rStyle w:val="FootnoteReference"/>
          <w:rFonts w:ascii="Times New Roman" w:hAnsi="Times New Roman"/>
          <w:sz w:val="24"/>
          <w:szCs w:val="24"/>
        </w:rPr>
        <w:footnoteRef/>
      </w:r>
      <w:r w:rsidRPr="00837E39">
        <w:rPr>
          <w:rFonts w:ascii="Times New Roman" w:hAnsi="Times New Roman"/>
          <w:sz w:val="24"/>
          <w:szCs w:val="24"/>
        </w:rPr>
        <w:t xml:space="preserve"> PRJ</w:t>
      </w:r>
      <w:r>
        <w:rPr>
          <w:rFonts w:ascii="Times New Roman" w:hAnsi="Times New Roman"/>
          <w:sz w:val="24"/>
          <w:szCs w:val="24"/>
        </w:rPr>
        <w:t>N</w:t>
      </w:r>
      <w:r w:rsidRPr="00837E39">
        <w:rPr>
          <w:rFonts w:ascii="Times New Roman" w:hAnsi="Times New Roman"/>
          <w:sz w:val="24"/>
          <w:szCs w:val="24"/>
        </w:rPr>
        <w:t xml:space="preserve">, Ex. </w:t>
      </w:r>
      <w:r>
        <w:rPr>
          <w:rFonts w:ascii="Times New Roman" w:hAnsi="Times New Roman"/>
          <w:sz w:val="24"/>
          <w:szCs w:val="24"/>
        </w:rPr>
        <w:t>2</w:t>
      </w:r>
      <w:r w:rsidRPr="00837E39">
        <w:rPr>
          <w:rFonts w:ascii="Times New Roman" w:hAnsi="Times New Roman"/>
          <w:sz w:val="24"/>
          <w:szCs w:val="24"/>
        </w:rPr>
        <w:t>: pp. 21-22.</w:t>
      </w:r>
      <w:r>
        <w:t xml:space="preserve"> </w:t>
      </w:r>
    </w:p>
  </w:footnote>
  <w:footnote w:id="37">
    <w:p w:rsidR="00AF6D98" w:rsidRPr="00C541C1" w:rsidRDefault="00AF6D98" w:rsidP="00C541C1">
      <w:pPr>
        <w:pStyle w:val="FootnoteText"/>
        <w:spacing w:line="240" w:lineRule="auto"/>
        <w:contextualSpacing/>
        <w:rPr>
          <w:rFonts w:ascii="Times New Roman" w:hAnsi="Times New Roman"/>
          <w:sz w:val="24"/>
          <w:szCs w:val="24"/>
        </w:rPr>
      </w:pPr>
      <w:r w:rsidRPr="00C541C1">
        <w:rPr>
          <w:rStyle w:val="FootnoteReference"/>
          <w:rFonts w:ascii="Times New Roman" w:hAnsi="Times New Roman"/>
          <w:sz w:val="24"/>
          <w:szCs w:val="24"/>
        </w:rPr>
        <w:footnoteRef/>
      </w:r>
      <w:r w:rsidRPr="00C541C1">
        <w:rPr>
          <w:rFonts w:ascii="Times New Roman" w:hAnsi="Times New Roman"/>
          <w:sz w:val="24"/>
          <w:szCs w:val="24"/>
        </w:rPr>
        <w:t xml:space="preserve"> PRJN, Ex. </w:t>
      </w:r>
      <w:r>
        <w:rPr>
          <w:rFonts w:ascii="Times New Roman" w:hAnsi="Times New Roman"/>
          <w:sz w:val="24"/>
          <w:szCs w:val="24"/>
        </w:rPr>
        <w:t>3</w:t>
      </w:r>
      <w:r w:rsidRPr="00C541C1">
        <w:rPr>
          <w:rFonts w:ascii="Times New Roman" w:hAnsi="Times New Roman"/>
          <w:sz w:val="24"/>
          <w:szCs w:val="24"/>
        </w:rPr>
        <w:t>.</w:t>
      </w:r>
    </w:p>
  </w:footnote>
  <w:footnote w:id="38">
    <w:p w:rsidR="00AF6D98" w:rsidRPr="00C152B2" w:rsidRDefault="00AF6D98" w:rsidP="00C152B2">
      <w:pPr>
        <w:pStyle w:val="FootnoteText"/>
        <w:spacing w:line="240" w:lineRule="auto"/>
        <w:contextualSpacing/>
        <w:rPr>
          <w:rFonts w:ascii="Times New Roman" w:hAnsi="Times New Roman"/>
          <w:sz w:val="24"/>
          <w:szCs w:val="24"/>
        </w:rPr>
      </w:pPr>
      <w:r w:rsidRPr="00C541C1">
        <w:rPr>
          <w:rStyle w:val="FootnoteReference"/>
          <w:rFonts w:ascii="Times New Roman" w:hAnsi="Times New Roman"/>
          <w:sz w:val="24"/>
          <w:szCs w:val="24"/>
        </w:rPr>
        <w:footnoteRef/>
      </w:r>
      <w:r w:rsidRPr="00C541C1">
        <w:rPr>
          <w:rFonts w:ascii="Times New Roman" w:hAnsi="Times New Roman"/>
          <w:sz w:val="24"/>
          <w:szCs w:val="24"/>
        </w:rPr>
        <w:t xml:space="preserve"> PRJN, Ex. </w:t>
      </w:r>
      <w:r>
        <w:rPr>
          <w:rFonts w:ascii="Times New Roman" w:hAnsi="Times New Roman"/>
          <w:sz w:val="24"/>
          <w:szCs w:val="24"/>
        </w:rPr>
        <w:t>6</w:t>
      </w:r>
      <w:r w:rsidRPr="00C541C1">
        <w:rPr>
          <w:rFonts w:ascii="Times New Roman" w:hAnsi="Times New Roman"/>
          <w:sz w:val="24"/>
          <w:szCs w:val="24"/>
        </w:rPr>
        <w:t>: p. 2.</w:t>
      </w:r>
    </w:p>
  </w:footnote>
  <w:footnote w:id="39">
    <w:p w:rsidR="00AF6D98" w:rsidRPr="00CB23C3" w:rsidRDefault="00AF6D98" w:rsidP="009762BD">
      <w:pPr>
        <w:pStyle w:val="FootnoteText"/>
        <w:spacing w:line="240" w:lineRule="auto"/>
        <w:contextualSpacing/>
        <w:rPr>
          <w:rFonts w:ascii="Times New Roman" w:hAnsi="Times New Roman"/>
          <w:sz w:val="24"/>
          <w:szCs w:val="24"/>
        </w:rPr>
      </w:pPr>
      <w:r w:rsidRPr="00CB23C3">
        <w:rPr>
          <w:rStyle w:val="FootnoteReference"/>
          <w:rFonts w:ascii="Times New Roman" w:hAnsi="Times New Roman"/>
          <w:sz w:val="24"/>
          <w:szCs w:val="24"/>
        </w:rPr>
        <w:footnoteRef/>
      </w:r>
      <w:r w:rsidRPr="00CB23C3">
        <w:rPr>
          <w:rFonts w:ascii="Times New Roman" w:hAnsi="Times New Roman"/>
          <w:sz w:val="24"/>
          <w:szCs w:val="24"/>
        </w:rPr>
        <w:t xml:space="preserve"> PRJN, Ex. 4: Relevant Excerpts of Defendants’ Ex Parte Application filed June 10, 2016; Ex. 6: Relevant Excerpts of Defendants’ Ex Parte Application filed June 20, 2016.</w:t>
      </w:r>
    </w:p>
  </w:footnote>
  <w:footnote w:id="40">
    <w:p w:rsidR="00AF6D98" w:rsidRPr="00CB23C3" w:rsidRDefault="00AF6D98" w:rsidP="00CB23C3">
      <w:pPr>
        <w:pStyle w:val="FootnoteText"/>
        <w:spacing w:line="240" w:lineRule="auto"/>
        <w:contextualSpacing/>
        <w:rPr>
          <w:rFonts w:ascii="Times New Roman" w:hAnsi="Times New Roman"/>
          <w:sz w:val="24"/>
          <w:szCs w:val="24"/>
        </w:rPr>
      </w:pPr>
      <w:r w:rsidRPr="00CB23C3">
        <w:rPr>
          <w:rStyle w:val="FootnoteReference"/>
          <w:rFonts w:ascii="Times New Roman" w:hAnsi="Times New Roman"/>
          <w:sz w:val="24"/>
          <w:szCs w:val="24"/>
        </w:rPr>
        <w:footnoteRef/>
      </w:r>
      <w:r w:rsidRPr="00CB23C3">
        <w:rPr>
          <w:rFonts w:ascii="Times New Roman" w:hAnsi="Times New Roman"/>
          <w:sz w:val="24"/>
          <w:szCs w:val="24"/>
        </w:rPr>
        <w:t xml:space="preserve"> PRJN, Ex. 8: Relevant Excerpts from Defendants’ Opposition to Plaintiffs’ Motion to Disqualify.</w:t>
      </w:r>
    </w:p>
  </w:footnote>
  <w:footnote w:id="41">
    <w:p w:rsidR="00AF6D98" w:rsidRPr="00CB23C3" w:rsidRDefault="00AF6D98" w:rsidP="00CB23C3">
      <w:pPr>
        <w:pStyle w:val="FootnoteText"/>
        <w:spacing w:line="240" w:lineRule="auto"/>
        <w:contextualSpacing/>
        <w:rPr>
          <w:rFonts w:ascii="Times New Roman" w:hAnsi="Times New Roman"/>
          <w:sz w:val="24"/>
          <w:szCs w:val="24"/>
        </w:rPr>
      </w:pPr>
      <w:r w:rsidRPr="00CB23C3">
        <w:rPr>
          <w:rStyle w:val="FootnoteReference"/>
          <w:rFonts w:ascii="Times New Roman" w:hAnsi="Times New Roman"/>
          <w:sz w:val="24"/>
          <w:szCs w:val="24"/>
        </w:rPr>
        <w:footnoteRef/>
      </w:r>
      <w:r w:rsidRPr="00CB23C3">
        <w:rPr>
          <w:rFonts w:ascii="Times New Roman" w:hAnsi="Times New Roman"/>
          <w:sz w:val="24"/>
          <w:szCs w:val="24"/>
        </w:rPr>
        <w:t xml:space="preserve"> PRJN, Ex. 5.</w:t>
      </w:r>
    </w:p>
  </w:footnote>
  <w:footnote w:id="42">
    <w:p w:rsidR="00AF6D98" w:rsidRPr="00170471" w:rsidRDefault="00AF6D98" w:rsidP="00170471">
      <w:pPr>
        <w:pStyle w:val="FootnoteText"/>
        <w:spacing w:line="240" w:lineRule="auto"/>
        <w:contextualSpacing/>
        <w:rPr>
          <w:rFonts w:ascii="Times New Roman" w:hAnsi="Times New Roman"/>
          <w:sz w:val="24"/>
          <w:szCs w:val="24"/>
        </w:rPr>
      </w:pPr>
      <w:r w:rsidRPr="00CB23C3">
        <w:rPr>
          <w:rStyle w:val="FootnoteReference"/>
          <w:rFonts w:ascii="Times New Roman" w:hAnsi="Times New Roman"/>
          <w:sz w:val="24"/>
          <w:szCs w:val="24"/>
        </w:rPr>
        <w:footnoteRef/>
      </w:r>
      <w:r w:rsidRPr="00CB23C3">
        <w:rPr>
          <w:rFonts w:ascii="Times New Roman" w:hAnsi="Times New Roman"/>
          <w:sz w:val="24"/>
          <w:szCs w:val="24"/>
        </w:rPr>
        <w:t xml:space="preserve"> PRJN, Ex. 7.</w:t>
      </w:r>
    </w:p>
  </w:footnote>
  <w:footnote w:id="43">
    <w:p w:rsidR="00AF6D98" w:rsidRPr="00446103" w:rsidRDefault="00AF6D98" w:rsidP="00446103">
      <w:pPr>
        <w:pStyle w:val="FootnoteText"/>
        <w:spacing w:line="240" w:lineRule="auto"/>
        <w:contextualSpacing/>
        <w:rPr>
          <w:rFonts w:ascii="Times New Roman" w:hAnsi="Times New Roman"/>
          <w:sz w:val="24"/>
          <w:szCs w:val="24"/>
        </w:rPr>
      </w:pPr>
      <w:r w:rsidRPr="00170471">
        <w:rPr>
          <w:rStyle w:val="FootnoteReference"/>
          <w:rFonts w:ascii="Times New Roman" w:hAnsi="Times New Roman"/>
          <w:sz w:val="24"/>
          <w:szCs w:val="24"/>
        </w:rPr>
        <w:footnoteRef/>
      </w:r>
      <w:r w:rsidRPr="00170471">
        <w:rPr>
          <w:rFonts w:ascii="Times New Roman" w:hAnsi="Times New Roman"/>
          <w:sz w:val="24"/>
          <w:szCs w:val="24"/>
        </w:rPr>
        <w:t xml:space="preserve"> For some reason the Reporter’s Transcript indicates Judge </w:t>
      </w:r>
      <w:proofErr w:type="spellStart"/>
      <w:r w:rsidRPr="00170471">
        <w:rPr>
          <w:rFonts w:ascii="Times New Roman" w:hAnsi="Times New Roman"/>
          <w:sz w:val="24"/>
          <w:szCs w:val="24"/>
        </w:rPr>
        <w:t>Theordore</w:t>
      </w:r>
      <w:proofErr w:type="spellEnd"/>
      <w:r w:rsidRPr="00170471">
        <w:rPr>
          <w:rFonts w:ascii="Times New Roman" w:hAnsi="Times New Roman"/>
          <w:sz w:val="24"/>
          <w:szCs w:val="24"/>
        </w:rPr>
        <w:t xml:space="preserve"> Howard.  The matter was heard on June 21, 2016 by Judge William </w:t>
      </w:r>
      <w:proofErr w:type="spellStart"/>
      <w:r w:rsidRPr="00170471">
        <w:rPr>
          <w:rFonts w:ascii="Times New Roman" w:hAnsi="Times New Roman"/>
          <w:sz w:val="24"/>
          <w:szCs w:val="24"/>
        </w:rPr>
        <w:t>Claster</w:t>
      </w:r>
      <w:proofErr w:type="spellEnd"/>
      <w:r w:rsidRPr="00170471">
        <w:rPr>
          <w:rFonts w:ascii="Times New Roman" w:hAnsi="Times New Roman"/>
          <w:sz w:val="24"/>
          <w:szCs w:val="24"/>
        </w:rPr>
        <w:t xml:space="preserve"> in Department CX-102.</w:t>
      </w:r>
    </w:p>
  </w:footnote>
  <w:footnote w:id="44">
    <w:p w:rsidR="00AF6D98" w:rsidRPr="00446103" w:rsidRDefault="00AF6D98" w:rsidP="00446103">
      <w:pPr>
        <w:pStyle w:val="FootnoteText"/>
        <w:spacing w:line="240" w:lineRule="auto"/>
        <w:contextualSpacing/>
        <w:rPr>
          <w:rFonts w:ascii="Times New Roman" w:hAnsi="Times New Roman"/>
          <w:sz w:val="24"/>
          <w:szCs w:val="24"/>
        </w:rPr>
      </w:pPr>
      <w:r w:rsidRPr="00446103">
        <w:rPr>
          <w:rStyle w:val="FootnoteReference"/>
          <w:rFonts w:ascii="Times New Roman" w:hAnsi="Times New Roman"/>
          <w:sz w:val="24"/>
          <w:szCs w:val="24"/>
        </w:rPr>
        <w:footnoteRef/>
      </w:r>
      <w:r w:rsidRPr="00446103">
        <w:rPr>
          <w:rFonts w:ascii="Times New Roman" w:hAnsi="Times New Roman"/>
          <w:sz w:val="24"/>
          <w:szCs w:val="24"/>
        </w:rPr>
        <w:t xml:space="preserve"> Odenbreit Dec.,</w:t>
      </w:r>
      <w:r>
        <w:rPr>
          <w:rFonts w:ascii="Times New Roman" w:hAnsi="Times New Roman"/>
          <w:sz w:val="24"/>
          <w:szCs w:val="24"/>
        </w:rPr>
        <w:t xml:space="preserve"> ¶6, </w:t>
      </w:r>
      <w:r w:rsidRPr="00446103">
        <w:rPr>
          <w:rFonts w:ascii="Times New Roman" w:hAnsi="Times New Roman"/>
          <w:sz w:val="24"/>
          <w:szCs w:val="24"/>
        </w:rPr>
        <w:t xml:space="preserve">Ex. </w:t>
      </w:r>
      <w:r>
        <w:rPr>
          <w:rFonts w:ascii="Times New Roman" w:hAnsi="Times New Roman"/>
          <w:sz w:val="24"/>
          <w:szCs w:val="24"/>
        </w:rPr>
        <w:t>10</w:t>
      </w:r>
      <w:r w:rsidRPr="00446103">
        <w:rPr>
          <w:rFonts w:ascii="Times New Roman" w:hAnsi="Times New Roman"/>
          <w:sz w:val="24"/>
          <w:szCs w:val="24"/>
        </w:rPr>
        <w:t>: RT, June 21, 2016, 3:18-5:13.</w:t>
      </w:r>
    </w:p>
  </w:footnote>
  <w:footnote w:id="45">
    <w:p w:rsidR="00AF6D98" w:rsidRPr="00446103" w:rsidRDefault="00AF6D98" w:rsidP="00446103">
      <w:pPr>
        <w:pStyle w:val="FootnoteText"/>
        <w:spacing w:line="240" w:lineRule="auto"/>
        <w:contextualSpacing/>
        <w:rPr>
          <w:rFonts w:ascii="Times New Roman" w:hAnsi="Times New Roman"/>
          <w:i/>
          <w:sz w:val="24"/>
          <w:szCs w:val="24"/>
        </w:rPr>
      </w:pPr>
      <w:r w:rsidRPr="00446103">
        <w:rPr>
          <w:rStyle w:val="FootnoteReference"/>
          <w:rFonts w:ascii="Times New Roman" w:hAnsi="Times New Roman"/>
          <w:sz w:val="24"/>
          <w:szCs w:val="24"/>
        </w:rPr>
        <w:footnoteRef/>
      </w:r>
      <w:r w:rsidRPr="00446103">
        <w:rPr>
          <w:rFonts w:ascii="Times New Roman" w:hAnsi="Times New Roman"/>
          <w:sz w:val="24"/>
          <w:szCs w:val="24"/>
        </w:rPr>
        <w:t xml:space="preserve"> </w:t>
      </w:r>
      <w:r w:rsidRPr="00446103">
        <w:rPr>
          <w:rFonts w:ascii="Times New Roman" w:hAnsi="Times New Roman"/>
          <w:i/>
          <w:sz w:val="24"/>
          <w:szCs w:val="24"/>
        </w:rPr>
        <w:t>Id.</w:t>
      </w:r>
    </w:p>
  </w:footnote>
  <w:footnote w:id="46">
    <w:p w:rsidR="00AF6D98" w:rsidRPr="005A16BE" w:rsidRDefault="00AF6D98" w:rsidP="005A16BE">
      <w:pPr>
        <w:pStyle w:val="FootnoteText"/>
        <w:spacing w:line="240" w:lineRule="auto"/>
        <w:contextualSpacing/>
        <w:rPr>
          <w:rFonts w:ascii="Times New Roman" w:hAnsi="Times New Roman"/>
          <w:sz w:val="24"/>
          <w:szCs w:val="24"/>
        </w:rPr>
      </w:pPr>
      <w:r w:rsidRPr="00446103">
        <w:rPr>
          <w:rStyle w:val="FootnoteReference"/>
          <w:rFonts w:ascii="Times New Roman" w:hAnsi="Times New Roman"/>
          <w:sz w:val="24"/>
          <w:szCs w:val="24"/>
        </w:rPr>
        <w:footnoteRef/>
      </w:r>
      <w:r w:rsidRPr="00446103">
        <w:rPr>
          <w:rFonts w:ascii="Times New Roman" w:hAnsi="Times New Roman"/>
          <w:sz w:val="24"/>
          <w:szCs w:val="24"/>
        </w:rPr>
        <w:t xml:space="preserve"> PRJN, Ex. 8.</w:t>
      </w:r>
    </w:p>
  </w:footnote>
  <w:footnote w:id="47">
    <w:p w:rsidR="00AF6D98" w:rsidRPr="000F26AD" w:rsidRDefault="00AF6D98" w:rsidP="000F26AD">
      <w:pPr>
        <w:pStyle w:val="FootnoteText"/>
        <w:spacing w:line="240" w:lineRule="auto"/>
        <w:contextualSpacing/>
        <w:rPr>
          <w:rFonts w:ascii="Times New Roman" w:hAnsi="Times New Roman"/>
          <w:sz w:val="24"/>
          <w:szCs w:val="24"/>
        </w:rPr>
      </w:pPr>
      <w:r w:rsidRPr="005A16BE">
        <w:rPr>
          <w:rStyle w:val="FootnoteReference"/>
          <w:rFonts w:ascii="Times New Roman" w:hAnsi="Times New Roman"/>
          <w:sz w:val="24"/>
          <w:szCs w:val="24"/>
        </w:rPr>
        <w:footnoteRef/>
      </w:r>
      <w:r w:rsidRPr="005A16BE">
        <w:rPr>
          <w:rFonts w:ascii="Times New Roman" w:hAnsi="Times New Roman"/>
          <w:sz w:val="24"/>
          <w:szCs w:val="24"/>
        </w:rPr>
        <w:t xml:space="preserve"> PRJN, Ex. 8, 14:16-18; Ex. 9.</w:t>
      </w:r>
    </w:p>
  </w:footnote>
  <w:footnote w:id="48">
    <w:p w:rsidR="00AF6D98" w:rsidRDefault="00AF6D98" w:rsidP="000F26AD">
      <w:pPr>
        <w:pStyle w:val="FootnoteText"/>
        <w:spacing w:line="240" w:lineRule="auto"/>
        <w:contextualSpacing/>
      </w:pPr>
      <w:r w:rsidRPr="000F26AD">
        <w:rPr>
          <w:rStyle w:val="FootnoteReference"/>
          <w:rFonts w:ascii="Times New Roman" w:hAnsi="Times New Roman"/>
          <w:sz w:val="24"/>
          <w:szCs w:val="24"/>
        </w:rPr>
        <w:footnoteRef/>
      </w:r>
      <w:r w:rsidRPr="000F26AD">
        <w:rPr>
          <w:rFonts w:ascii="Times New Roman" w:hAnsi="Times New Roman"/>
          <w:sz w:val="24"/>
          <w:szCs w:val="24"/>
        </w:rPr>
        <w:t xml:space="preserve"> Defendants’ MTD, p. 11:11-18.</w:t>
      </w:r>
    </w:p>
  </w:footnote>
  <w:footnote w:id="49">
    <w:p w:rsidR="00AF6D98" w:rsidRPr="00AD322B" w:rsidRDefault="00AF6D98" w:rsidP="00AD322B">
      <w:pPr>
        <w:pStyle w:val="FootnoteText"/>
        <w:spacing w:line="240" w:lineRule="auto"/>
        <w:contextualSpacing/>
        <w:rPr>
          <w:rFonts w:ascii="Times New Roman" w:hAnsi="Times New Roman"/>
          <w:sz w:val="24"/>
          <w:szCs w:val="24"/>
        </w:rPr>
      </w:pPr>
      <w:r w:rsidRPr="002E0C34">
        <w:rPr>
          <w:rStyle w:val="FootnoteReference"/>
          <w:rFonts w:ascii="Times New Roman" w:hAnsi="Times New Roman"/>
          <w:sz w:val="24"/>
          <w:szCs w:val="24"/>
        </w:rPr>
        <w:footnoteRef/>
      </w:r>
      <w:r w:rsidRPr="002E0C34">
        <w:rPr>
          <w:rFonts w:ascii="Times New Roman" w:hAnsi="Times New Roman"/>
          <w:sz w:val="24"/>
          <w:szCs w:val="24"/>
        </w:rPr>
        <w:t xml:space="preserve"> Defendants’ MTD, p. 121:2-6.</w:t>
      </w:r>
    </w:p>
  </w:footnote>
  <w:footnote w:id="50">
    <w:p w:rsidR="00AF6D98" w:rsidRPr="00AD322B" w:rsidRDefault="00AF6D98" w:rsidP="00AD322B">
      <w:pPr>
        <w:pStyle w:val="FootnoteText"/>
        <w:spacing w:line="240" w:lineRule="auto"/>
        <w:contextualSpacing/>
        <w:rPr>
          <w:rFonts w:ascii="Times New Roman" w:hAnsi="Times New Roman"/>
          <w:sz w:val="24"/>
          <w:szCs w:val="24"/>
        </w:rPr>
      </w:pPr>
      <w:r w:rsidRPr="00AD322B">
        <w:rPr>
          <w:rStyle w:val="FootnoteReference"/>
          <w:rFonts w:ascii="Times New Roman" w:hAnsi="Times New Roman"/>
          <w:sz w:val="24"/>
          <w:szCs w:val="24"/>
        </w:rPr>
        <w:footnoteRef/>
      </w:r>
      <w:r w:rsidRPr="00AD322B">
        <w:rPr>
          <w:rFonts w:ascii="Times New Roman" w:hAnsi="Times New Roman"/>
          <w:sz w:val="24"/>
          <w:szCs w:val="24"/>
        </w:rPr>
        <w:t xml:space="preserve"> Odenbreit Dec., ¶</w:t>
      </w:r>
      <w:r>
        <w:rPr>
          <w:rFonts w:ascii="Times New Roman" w:hAnsi="Times New Roman"/>
          <w:sz w:val="24"/>
          <w:szCs w:val="24"/>
        </w:rPr>
        <w:t>14.</w:t>
      </w:r>
    </w:p>
  </w:footnote>
  <w:footnote w:id="51">
    <w:p w:rsidR="00AF6D98" w:rsidRPr="00FA75E8" w:rsidRDefault="00AF6D98" w:rsidP="00FA75E8">
      <w:pPr>
        <w:pStyle w:val="FootnoteText"/>
        <w:spacing w:line="240" w:lineRule="auto"/>
        <w:contextualSpacing/>
        <w:rPr>
          <w:rFonts w:ascii="Times New Roman" w:hAnsi="Times New Roman"/>
          <w:sz w:val="24"/>
          <w:szCs w:val="24"/>
        </w:rPr>
      </w:pPr>
      <w:r w:rsidRPr="00AD322B">
        <w:rPr>
          <w:rStyle w:val="FootnoteReference"/>
          <w:rFonts w:ascii="Times New Roman" w:hAnsi="Times New Roman"/>
          <w:sz w:val="24"/>
          <w:szCs w:val="24"/>
        </w:rPr>
        <w:footnoteRef/>
      </w:r>
      <w:r w:rsidRPr="00AD322B">
        <w:rPr>
          <w:rFonts w:ascii="Times New Roman" w:hAnsi="Times New Roman"/>
          <w:sz w:val="24"/>
          <w:szCs w:val="24"/>
        </w:rPr>
        <w:t xml:space="preserve"> Odenbreit Dec., ¶ </w:t>
      </w:r>
      <w:r>
        <w:rPr>
          <w:rFonts w:ascii="Times New Roman" w:hAnsi="Times New Roman"/>
          <w:sz w:val="24"/>
          <w:szCs w:val="24"/>
        </w:rPr>
        <w:t>14.</w:t>
      </w:r>
    </w:p>
  </w:footnote>
  <w:footnote w:id="52">
    <w:p w:rsidR="00AF6D98" w:rsidRPr="00FA75E8" w:rsidRDefault="00AF6D98" w:rsidP="00FA75E8">
      <w:pPr>
        <w:pStyle w:val="FootnoteText"/>
        <w:spacing w:line="240" w:lineRule="auto"/>
        <w:contextualSpacing/>
        <w:rPr>
          <w:rFonts w:ascii="Times New Roman" w:hAnsi="Times New Roman"/>
          <w:sz w:val="24"/>
          <w:szCs w:val="24"/>
        </w:rPr>
      </w:pPr>
      <w:r w:rsidRPr="00FA75E8">
        <w:rPr>
          <w:rStyle w:val="FootnoteReference"/>
          <w:rFonts w:ascii="Times New Roman" w:hAnsi="Times New Roman"/>
          <w:sz w:val="24"/>
          <w:szCs w:val="24"/>
        </w:rPr>
        <w:footnoteRef/>
      </w:r>
      <w:r w:rsidRPr="00FA75E8">
        <w:rPr>
          <w:rFonts w:ascii="Times New Roman" w:hAnsi="Times New Roman"/>
          <w:sz w:val="24"/>
          <w:szCs w:val="24"/>
        </w:rPr>
        <w:t xml:space="preserve"> </w:t>
      </w:r>
      <w:r w:rsidRPr="00FA75E8">
        <w:rPr>
          <w:rFonts w:ascii="Times New Roman" w:hAnsi="Times New Roman"/>
          <w:i/>
          <w:sz w:val="24"/>
          <w:szCs w:val="24"/>
        </w:rPr>
        <w:t xml:space="preserve">Liberty National supra </w:t>
      </w:r>
      <w:r w:rsidRPr="00FA75E8">
        <w:rPr>
          <w:rFonts w:ascii="Times New Roman" w:hAnsi="Times New Roman"/>
          <w:sz w:val="24"/>
          <w:szCs w:val="24"/>
        </w:rPr>
        <w:t xml:space="preserve">at 848 [mastery of a complex case is best acquired as the case progresses].  </w:t>
      </w:r>
    </w:p>
  </w:footnote>
  <w:footnote w:id="53">
    <w:p w:rsidR="00AF6D98" w:rsidRPr="009E429F" w:rsidRDefault="00AF6D98" w:rsidP="009E429F">
      <w:pPr>
        <w:pStyle w:val="FootnoteText"/>
        <w:spacing w:line="240" w:lineRule="auto"/>
        <w:contextualSpacing/>
        <w:rPr>
          <w:rFonts w:ascii="Times New Roman" w:hAnsi="Times New Roman"/>
          <w:sz w:val="24"/>
          <w:szCs w:val="24"/>
        </w:rPr>
      </w:pPr>
      <w:r w:rsidRPr="009E429F">
        <w:rPr>
          <w:rStyle w:val="FootnoteReference"/>
          <w:rFonts w:ascii="Times New Roman" w:hAnsi="Times New Roman"/>
          <w:sz w:val="24"/>
          <w:szCs w:val="24"/>
        </w:rPr>
        <w:footnoteRef/>
      </w:r>
      <w:r w:rsidRPr="009E429F">
        <w:rPr>
          <w:rFonts w:ascii="Times New Roman" w:hAnsi="Times New Roman"/>
          <w:sz w:val="24"/>
          <w:szCs w:val="24"/>
        </w:rPr>
        <w:t xml:space="preserve"> Defendants’ MTD, p. 9.</w:t>
      </w:r>
    </w:p>
  </w:footnote>
  <w:footnote w:id="54">
    <w:p w:rsidR="00AF6D98" w:rsidRPr="009E429F" w:rsidRDefault="00AF6D98" w:rsidP="009E429F">
      <w:pPr>
        <w:pStyle w:val="FootnoteText"/>
        <w:spacing w:line="240" w:lineRule="auto"/>
        <w:contextualSpacing/>
        <w:rPr>
          <w:rFonts w:ascii="Times New Roman" w:hAnsi="Times New Roman"/>
          <w:sz w:val="24"/>
          <w:szCs w:val="24"/>
        </w:rPr>
      </w:pPr>
      <w:r w:rsidRPr="009E429F">
        <w:rPr>
          <w:rStyle w:val="FootnoteReference"/>
          <w:rFonts w:ascii="Times New Roman" w:hAnsi="Times New Roman"/>
          <w:sz w:val="24"/>
          <w:szCs w:val="24"/>
        </w:rPr>
        <w:footnoteRef/>
      </w:r>
      <w:r w:rsidRPr="009E429F">
        <w:rPr>
          <w:rFonts w:ascii="Times New Roman" w:hAnsi="Times New Roman"/>
          <w:sz w:val="24"/>
          <w:szCs w:val="24"/>
        </w:rPr>
        <w:t xml:space="preserve"> Defendants’ MTD, p. 9.</w:t>
      </w:r>
    </w:p>
  </w:footnote>
  <w:footnote w:id="55">
    <w:p w:rsidR="00AF6D98" w:rsidRPr="00F63468" w:rsidRDefault="00AF6D98" w:rsidP="00F63468">
      <w:pPr>
        <w:pStyle w:val="FootnoteText"/>
        <w:spacing w:line="240" w:lineRule="auto"/>
        <w:contextualSpacing/>
        <w:rPr>
          <w:rFonts w:ascii="Times New Roman" w:hAnsi="Times New Roman"/>
          <w:sz w:val="24"/>
          <w:szCs w:val="24"/>
        </w:rPr>
      </w:pPr>
      <w:r w:rsidRPr="00F63468">
        <w:rPr>
          <w:rStyle w:val="FootnoteReference"/>
          <w:rFonts w:ascii="Times New Roman" w:hAnsi="Times New Roman"/>
          <w:sz w:val="24"/>
          <w:szCs w:val="24"/>
        </w:rPr>
        <w:footnoteRef/>
      </w:r>
      <w:r w:rsidRPr="00F63468">
        <w:rPr>
          <w:rFonts w:ascii="Times New Roman" w:hAnsi="Times New Roman"/>
          <w:sz w:val="24"/>
          <w:szCs w:val="24"/>
        </w:rPr>
        <w:t xml:space="preserve"> Odenbreit Dec., ¶¶5, Ex. 3: 11:13-18.</w:t>
      </w:r>
    </w:p>
  </w:footnote>
  <w:footnote w:id="56">
    <w:p w:rsidR="00AF6D98" w:rsidRPr="00F63468" w:rsidRDefault="00AF6D98" w:rsidP="00F63468">
      <w:pPr>
        <w:pStyle w:val="FootnoteText"/>
        <w:spacing w:line="240" w:lineRule="auto"/>
        <w:contextualSpacing/>
        <w:rPr>
          <w:rFonts w:ascii="Times New Roman" w:hAnsi="Times New Roman"/>
          <w:sz w:val="24"/>
          <w:szCs w:val="24"/>
        </w:rPr>
      </w:pPr>
      <w:r w:rsidRPr="00F63468">
        <w:rPr>
          <w:rStyle w:val="FootnoteReference"/>
          <w:rFonts w:ascii="Times New Roman" w:hAnsi="Times New Roman"/>
          <w:sz w:val="24"/>
          <w:szCs w:val="24"/>
        </w:rPr>
        <w:footnoteRef/>
      </w:r>
      <w:r w:rsidRPr="00F63468">
        <w:rPr>
          <w:rFonts w:ascii="Times New Roman" w:hAnsi="Times New Roman"/>
          <w:sz w:val="24"/>
          <w:szCs w:val="24"/>
        </w:rPr>
        <w:t xml:space="preserve"> PRJN, Ex. 10.</w:t>
      </w:r>
    </w:p>
  </w:footnote>
  <w:footnote w:id="57">
    <w:p w:rsidR="00AF6D98" w:rsidRPr="00230FB6" w:rsidRDefault="00AF6D98" w:rsidP="00230FB6">
      <w:pPr>
        <w:pStyle w:val="FootnoteText"/>
        <w:spacing w:line="240" w:lineRule="auto"/>
        <w:contextualSpacing/>
        <w:rPr>
          <w:rFonts w:ascii="Times New Roman" w:hAnsi="Times New Roman"/>
          <w:sz w:val="24"/>
          <w:szCs w:val="24"/>
        </w:rPr>
      </w:pPr>
      <w:r w:rsidRPr="00230FB6">
        <w:rPr>
          <w:rStyle w:val="FootnoteReference"/>
          <w:rFonts w:ascii="Times New Roman" w:hAnsi="Times New Roman"/>
          <w:sz w:val="24"/>
          <w:szCs w:val="24"/>
        </w:rPr>
        <w:footnoteRef/>
      </w:r>
      <w:r w:rsidRPr="00230FB6">
        <w:rPr>
          <w:rFonts w:ascii="Times New Roman" w:hAnsi="Times New Roman"/>
          <w:sz w:val="24"/>
          <w:szCs w:val="24"/>
        </w:rPr>
        <w:t xml:space="preserve"> Odenbreit Dec., ¶17.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D98" w:rsidRDefault="00AF6D98">
    <w:pPr>
      <w:pStyle w:val="Header"/>
    </w:pPr>
    <w:r>
      <w:rPr>
        <w:noProof/>
      </w:rPr>
      <w:pict>
        <v:shapetype id="_x0000_t202" coordsize="21600,21600" o:spt="202" path="m,l,21600r21600,l21600,xe">
          <v:stroke joinstyle="miter"/>
          <v:path gradientshapeok="t" o:connecttype="rect"/>
        </v:shapetype>
        <v:shape id="LineNumbers" o:spid="_x0000_s24584" type="#_x0000_t202" style="position:absolute;margin-left:-50.4pt;margin-top:0;width:36pt;height:9in;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" stroked="f">
          <v:textbox inset="0,0,0,0">
            <w:txbxContent>
              <w:p w:rsidR="00AF6D98" w:rsidRPr="00DB4025" w:rsidRDefault="00AF6D98" w:rsidP="009A1324">
                <w:pPr>
                  <w:jc w:val="right"/>
                  <w:rPr>
                    <w:rFonts w:ascii="Times New Roman" w:hAnsi="Times New Roman"/>
                    <w:sz w:val="20"/>
                  </w:rPr>
                </w:pPr>
                <w:r w:rsidRPr="00DB4025">
                  <w:rPr>
                    <w:rFonts w:ascii="Times New Roman" w:hAnsi="Times New Roman"/>
                    <w:sz w:val="20"/>
                  </w:rPr>
                  <w:t>1</w:t>
                </w:r>
              </w:p>
              <w:p w:rsidR="00AF6D98" w:rsidRPr="00DB4025" w:rsidRDefault="00AF6D98" w:rsidP="00312C88">
                <w:pPr>
                  <w:jc w:val="right"/>
                  <w:rPr>
                    <w:rFonts w:ascii="Times New Roman" w:hAnsi="Times New Roman"/>
                    <w:sz w:val="20"/>
                  </w:rPr>
                </w:pPr>
                <w:r w:rsidRPr="00DB4025">
                  <w:rPr>
                    <w:rFonts w:ascii="Times New Roman" w:hAnsi="Times New Roman"/>
                    <w:sz w:val="20"/>
                  </w:rPr>
                  <w:t>2</w:t>
                </w:r>
              </w:p>
              <w:p w:rsidR="00AF6D98" w:rsidRPr="00DB4025" w:rsidRDefault="00AF6D98" w:rsidP="00312C88">
                <w:pPr>
                  <w:jc w:val="right"/>
                  <w:rPr>
                    <w:rFonts w:ascii="Times New Roman" w:hAnsi="Times New Roman"/>
                    <w:sz w:val="20"/>
                  </w:rPr>
                </w:pPr>
                <w:r w:rsidRPr="00DB4025">
                  <w:rPr>
                    <w:rFonts w:ascii="Times New Roman" w:hAnsi="Times New Roman"/>
                    <w:sz w:val="20"/>
                  </w:rPr>
                  <w:t>3</w:t>
                </w:r>
              </w:p>
              <w:p w:rsidR="00AF6D98" w:rsidRPr="00DB4025" w:rsidRDefault="00AF6D98" w:rsidP="00312C88">
                <w:pPr>
                  <w:jc w:val="right"/>
                  <w:rPr>
                    <w:rFonts w:ascii="Times New Roman" w:hAnsi="Times New Roman"/>
                    <w:sz w:val="20"/>
                  </w:rPr>
                </w:pPr>
                <w:r w:rsidRPr="00DB4025">
                  <w:rPr>
                    <w:rFonts w:ascii="Times New Roman" w:hAnsi="Times New Roman"/>
                    <w:sz w:val="20"/>
                  </w:rPr>
                  <w:t>4</w:t>
                </w:r>
              </w:p>
              <w:p w:rsidR="00AF6D98" w:rsidRPr="00DB4025" w:rsidRDefault="00AF6D98" w:rsidP="00312C88">
                <w:pPr>
                  <w:jc w:val="right"/>
                  <w:rPr>
                    <w:rFonts w:ascii="Times New Roman" w:hAnsi="Times New Roman"/>
                    <w:sz w:val="20"/>
                  </w:rPr>
                </w:pPr>
                <w:r w:rsidRPr="00DB4025">
                  <w:rPr>
                    <w:rFonts w:ascii="Times New Roman" w:hAnsi="Times New Roman"/>
                    <w:sz w:val="20"/>
                  </w:rPr>
                  <w:t>5</w:t>
                </w:r>
              </w:p>
              <w:p w:rsidR="00AF6D98" w:rsidRPr="00DB4025" w:rsidRDefault="00AF6D98" w:rsidP="00312C88">
                <w:pPr>
                  <w:jc w:val="right"/>
                  <w:rPr>
                    <w:rFonts w:ascii="Times New Roman" w:hAnsi="Times New Roman"/>
                    <w:sz w:val="20"/>
                  </w:rPr>
                </w:pPr>
                <w:r w:rsidRPr="00DB4025">
                  <w:rPr>
                    <w:rFonts w:ascii="Times New Roman" w:hAnsi="Times New Roman"/>
                    <w:sz w:val="20"/>
                  </w:rPr>
                  <w:t>6</w:t>
                </w:r>
              </w:p>
              <w:p w:rsidR="00AF6D98" w:rsidRPr="00DB4025" w:rsidRDefault="00AF6D98" w:rsidP="00312C88">
                <w:pPr>
                  <w:jc w:val="right"/>
                  <w:rPr>
                    <w:rFonts w:ascii="Times New Roman" w:hAnsi="Times New Roman"/>
                    <w:sz w:val="20"/>
                  </w:rPr>
                </w:pPr>
                <w:r w:rsidRPr="00DB4025">
                  <w:rPr>
                    <w:rFonts w:ascii="Times New Roman" w:hAnsi="Times New Roman"/>
                    <w:sz w:val="20"/>
                  </w:rPr>
                  <w:t>7</w:t>
                </w:r>
              </w:p>
              <w:p w:rsidR="00AF6D98" w:rsidRPr="00DB4025" w:rsidRDefault="00AF6D98" w:rsidP="00312C88">
                <w:pPr>
                  <w:jc w:val="right"/>
                  <w:rPr>
                    <w:rFonts w:ascii="Times New Roman" w:hAnsi="Times New Roman"/>
                    <w:sz w:val="20"/>
                  </w:rPr>
                </w:pPr>
                <w:r w:rsidRPr="00DB4025">
                  <w:rPr>
                    <w:rFonts w:ascii="Times New Roman" w:hAnsi="Times New Roman"/>
                    <w:sz w:val="20"/>
                  </w:rPr>
                  <w:t>8</w:t>
                </w:r>
              </w:p>
              <w:p w:rsidR="00AF6D98" w:rsidRPr="00DB4025" w:rsidRDefault="00AF6D98" w:rsidP="00312C88">
                <w:pPr>
                  <w:jc w:val="right"/>
                  <w:rPr>
                    <w:rFonts w:ascii="Times New Roman" w:hAnsi="Times New Roman"/>
                    <w:sz w:val="20"/>
                  </w:rPr>
                </w:pPr>
                <w:r w:rsidRPr="00DB4025">
                  <w:rPr>
                    <w:rFonts w:ascii="Times New Roman" w:hAnsi="Times New Roman"/>
                    <w:sz w:val="20"/>
                  </w:rPr>
                  <w:t>9</w:t>
                </w:r>
              </w:p>
              <w:p w:rsidR="00AF6D98" w:rsidRPr="00DB4025" w:rsidRDefault="00AF6D98" w:rsidP="00312C88">
                <w:pPr>
                  <w:jc w:val="right"/>
                  <w:rPr>
                    <w:rFonts w:ascii="Times New Roman" w:hAnsi="Times New Roman"/>
                    <w:sz w:val="20"/>
                  </w:rPr>
                </w:pPr>
                <w:r w:rsidRPr="00DB4025">
                  <w:rPr>
                    <w:rFonts w:ascii="Times New Roman" w:hAnsi="Times New Roman"/>
                    <w:sz w:val="20"/>
                  </w:rPr>
                  <w:t>10</w:t>
                </w:r>
              </w:p>
              <w:p w:rsidR="00AF6D98" w:rsidRPr="00DB4025" w:rsidRDefault="00AF6D98" w:rsidP="00312C88">
                <w:pPr>
                  <w:jc w:val="right"/>
                  <w:rPr>
                    <w:rFonts w:ascii="Times New Roman" w:hAnsi="Times New Roman"/>
                    <w:sz w:val="20"/>
                  </w:rPr>
                </w:pPr>
                <w:r w:rsidRPr="00DB4025">
                  <w:rPr>
                    <w:rFonts w:ascii="Times New Roman" w:hAnsi="Times New Roman"/>
                    <w:sz w:val="20"/>
                  </w:rPr>
                  <w:t>11</w:t>
                </w:r>
              </w:p>
              <w:p w:rsidR="00AF6D98" w:rsidRPr="00DB4025" w:rsidRDefault="00AF6D98" w:rsidP="00312C88">
                <w:pPr>
                  <w:jc w:val="right"/>
                  <w:rPr>
                    <w:rFonts w:ascii="Times New Roman" w:hAnsi="Times New Roman"/>
                    <w:sz w:val="20"/>
                  </w:rPr>
                </w:pPr>
                <w:r w:rsidRPr="00DB4025">
                  <w:rPr>
                    <w:rFonts w:ascii="Times New Roman" w:hAnsi="Times New Roman"/>
                    <w:sz w:val="20"/>
                  </w:rPr>
                  <w:t>12</w:t>
                </w:r>
              </w:p>
              <w:p w:rsidR="00AF6D98" w:rsidRPr="00DB4025" w:rsidRDefault="00AF6D98" w:rsidP="00312C88">
                <w:pPr>
                  <w:jc w:val="right"/>
                  <w:rPr>
                    <w:rFonts w:ascii="Times New Roman" w:hAnsi="Times New Roman"/>
                    <w:sz w:val="20"/>
                  </w:rPr>
                </w:pPr>
                <w:r w:rsidRPr="00DB4025">
                  <w:rPr>
                    <w:rFonts w:ascii="Times New Roman" w:hAnsi="Times New Roman"/>
                    <w:sz w:val="20"/>
                  </w:rPr>
                  <w:t>13</w:t>
                </w:r>
              </w:p>
              <w:p w:rsidR="00AF6D98" w:rsidRPr="00DB4025" w:rsidRDefault="00AF6D98" w:rsidP="00312C88">
                <w:pPr>
                  <w:jc w:val="right"/>
                  <w:rPr>
                    <w:rFonts w:ascii="Times New Roman" w:hAnsi="Times New Roman"/>
                    <w:sz w:val="20"/>
                  </w:rPr>
                </w:pPr>
                <w:r w:rsidRPr="00DB4025">
                  <w:rPr>
                    <w:rFonts w:ascii="Times New Roman" w:hAnsi="Times New Roman"/>
                    <w:sz w:val="20"/>
                  </w:rPr>
                  <w:t>14</w:t>
                </w:r>
              </w:p>
              <w:p w:rsidR="00AF6D98" w:rsidRPr="00DB4025" w:rsidRDefault="00AF6D98" w:rsidP="00312C88">
                <w:pPr>
                  <w:jc w:val="right"/>
                  <w:rPr>
                    <w:rFonts w:ascii="Times New Roman" w:hAnsi="Times New Roman"/>
                    <w:sz w:val="20"/>
                  </w:rPr>
                </w:pPr>
                <w:r w:rsidRPr="00DB4025">
                  <w:rPr>
                    <w:rFonts w:ascii="Times New Roman" w:hAnsi="Times New Roman"/>
                    <w:sz w:val="20"/>
                  </w:rPr>
                  <w:t>15</w:t>
                </w:r>
              </w:p>
              <w:p w:rsidR="00AF6D98" w:rsidRPr="00DB4025" w:rsidRDefault="00AF6D98" w:rsidP="00312C88">
                <w:pPr>
                  <w:jc w:val="right"/>
                  <w:rPr>
                    <w:rFonts w:ascii="Times New Roman" w:hAnsi="Times New Roman"/>
                    <w:sz w:val="20"/>
                  </w:rPr>
                </w:pPr>
                <w:r w:rsidRPr="00DB4025">
                  <w:rPr>
                    <w:rFonts w:ascii="Times New Roman" w:hAnsi="Times New Roman"/>
                    <w:sz w:val="20"/>
                  </w:rPr>
                  <w:t>16</w:t>
                </w:r>
              </w:p>
              <w:p w:rsidR="00AF6D98" w:rsidRPr="00DB4025" w:rsidRDefault="00AF6D98" w:rsidP="00312C88">
                <w:pPr>
                  <w:jc w:val="right"/>
                  <w:rPr>
                    <w:rFonts w:ascii="Times New Roman" w:hAnsi="Times New Roman"/>
                    <w:sz w:val="20"/>
                  </w:rPr>
                </w:pPr>
                <w:r w:rsidRPr="00DB4025">
                  <w:rPr>
                    <w:rFonts w:ascii="Times New Roman" w:hAnsi="Times New Roman"/>
                    <w:sz w:val="20"/>
                  </w:rPr>
                  <w:t>17</w:t>
                </w:r>
              </w:p>
              <w:p w:rsidR="00AF6D98" w:rsidRPr="00DB4025" w:rsidRDefault="00AF6D98" w:rsidP="00312C88">
                <w:pPr>
                  <w:jc w:val="right"/>
                  <w:rPr>
                    <w:rFonts w:ascii="Times New Roman" w:hAnsi="Times New Roman"/>
                    <w:sz w:val="20"/>
                  </w:rPr>
                </w:pPr>
                <w:r w:rsidRPr="00DB4025">
                  <w:rPr>
                    <w:rFonts w:ascii="Times New Roman" w:hAnsi="Times New Roman"/>
                    <w:sz w:val="20"/>
                  </w:rPr>
                  <w:t>18</w:t>
                </w:r>
              </w:p>
              <w:p w:rsidR="00AF6D98" w:rsidRPr="00DB4025" w:rsidRDefault="00AF6D98" w:rsidP="00312C88">
                <w:pPr>
                  <w:jc w:val="right"/>
                  <w:rPr>
                    <w:rFonts w:ascii="Times New Roman" w:hAnsi="Times New Roman"/>
                    <w:sz w:val="20"/>
                  </w:rPr>
                </w:pPr>
                <w:r w:rsidRPr="00DB4025">
                  <w:rPr>
                    <w:rFonts w:ascii="Times New Roman" w:hAnsi="Times New Roman"/>
                    <w:sz w:val="20"/>
                  </w:rPr>
                  <w:t>19</w:t>
                </w:r>
              </w:p>
              <w:p w:rsidR="00AF6D98" w:rsidRPr="00DB4025" w:rsidRDefault="00AF6D98" w:rsidP="00312C88">
                <w:pPr>
                  <w:jc w:val="right"/>
                  <w:rPr>
                    <w:rFonts w:ascii="Times New Roman" w:hAnsi="Times New Roman"/>
                    <w:sz w:val="20"/>
                  </w:rPr>
                </w:pPr>
                <w:r w:rsidRPr="00DB4025">
                  <w:rPr>
                    <w:rFonts w:ascii="Times New Roman" w:hAnsi="Times New Roman"/>
                    <w:sz w:val="20"/>
                  </w:rPr>
                  <w:t>20</w:t>
                </w:r>
              </w:p>
              <w:p w:rsidR="00AF6D98" w:rsidRPr="00DB4025" w:rsidRDefault="00AF6D98" w:rsidP="00312C88">
                <w:pPr>
                  <w:jc w:val="right"/>
                  <w:rPr>
                    <w:rFonts w:ascii="Times New Roman" w:hAnsi="Times New Roman"/>
                    <w:sz w:val="20"/>
                  </w:rPr>
                </w:pPr>
                <w:r w:rsidRPr="00DB4025">
                  <w:rPr>
                    <w:rFonts w:ascii="Times New Roman" w:hAnsi="Times New Roman"/>
                    <w:sz w:val="20"/>
                  </w:rPr>
                  <w:t>21</w:t>
                </w:r>
              </w:p>
              <w:p w:rsidR="00AF6D98" w:rsidRPr="00DB4025" w:rsidRDefault="00AF6D98" w:rsidP="00312C88">
                <w:pPr>
                  <w:jc w:val="right"/>
                  <w:rPr>
                    <w:rFonts w:ascii="Times New Roman" w:hAnsi="Times New Roman"/>
                    <w:sz w:val="20"/>
                  </w:rPr>
                </w:pPr>
                <w:r w:rsidRPr="00DB4025">
                  <w:rPr>
                    <w:rFonts w:ascii="Times New Roman" w:hAnsi="Times New Roman"/>
                    <w:sz w:val="20"/>
                  </w:rPr>
                  <w:t>22</w:t>
                </w:r>
              </w:p>
              <w:p w:rsidR="00AF6D98" w:rsidRPr="00DB4025" w:rsidRDefault="00AF6D98" w:rsidP="00312C88">
                <w:pPr>
                  <w:jc w:val="right"/>
                  <w:rPr>
                    <w:rFonts w:ascii="Times New Roman" w:hAnsi="Times New Roman"/>
                    <w:sz w:val="20"/>
                  </w:rPr>
                </w:pPr>
                <w:r w:rsidRPr="00DB4025">
                  <w:rPr>
                    <w:rFonts w:ascii="Times New Roman" w:hAnsi="Times New Roman"/>
                    <w:sz w:val="20"/>
                  </w:rPr>
                  <w:t>23</w:t>
                </w:r>
              </w:p>
              <w:p w:rsidR="00AF6D98" w:rsidRPr="00DB4025" w:rsidRDefault="00AF6D98" w:rsidP="00312C88">
                <w:pPr>
                  <w:jc w:val="right"/>
                  <w:rPr>
                    <w:rFonts w:ascii="Times New Roman" w:hAnsi="Times New Roman"/>
                    <w:sz w:val="20"/>
                  </w:rPr>
                </w:pPr>
                <w:r w:rsidRPr="00DB4025">
                  <w:rPr>
                    <w:rFonts w:ascii="Times New Roman" w:hAnsi="Times New Roman"/>
                    <w:sz w:val="20"/>
                  </w:rPr>
                  <w:t>24</w:t>
                </w:r>
              </w:p>
              <w:p w:rsidR="00AF6D98" w:rsidRPr="00DB4025" w:rsidRDefault="00AF6D98" w:rsidP="00312C88">
                <w:pPr>
                  <w:jc w:val="right"/>
                  <w:rPr>
                    <w:rFonts w:ascii="Times New Roman" w:hAnsi="Times New Roman"/>
                    <w:sz w:val="20"/>
                  </w:rPr>
                </w:pPr>
                <w:r w:rsidRPr="00DB4025">
                  <w:rPr>
                    <w:rFonts w:ascii="Times New Roman" w:hAnsi="Times New Roman"/>
                    <w:sz w:val="20"/>
                  </w:rPr>
                  <w:t>25</w:t>
                </w:r>
              </w:p>
              <w:p w:rsidR="00AF6D98" w:rsidRPr="00DB4025" w:rsidRDefault="00AF6D98" w:rsidP="00312C88">
                <w:pPr>
                  <w:jc w:val="right"/>
                  <w:rPr>
                    <w:rFonts w:ascii="Times New Roman" w:hAnsi="Times New Roman"/>
                    <w:sz w:val="20"/>
                  </w:rPr>
                </w:pPr>
                <w:r w:rsidRPr="00DB4025">
                  <w:rPr>
                    <w:rFonts w:ascii="Times New Roman" w:hAnsi="Times New Roman"/>
                    <w:sz w:val="20"/>
                  </w:rPr>
                  <w:t>26</w:t>
                </w:r>
              </w:p>
              <w:p w:rsidR="00AF6D98" w:rsidRPr="00DB4025" w:rsidRDefault="00AF6D98" w:rsidP="00312C88">
                <w:pPr>
                  <w:jc w:val="right"/>
                  <w:rPr>
                    <w:rFonts w:ascii="Times New Roman" w:hAnsi="Times New Roman"/>
                    <w:sz w:val="20"/>
                  </w:rPr>
                </w:pPr>
                <w:r w:rsidRPr="00DB4025">
                  <w:rPr>
                    <w:rFonts w:ascii="Times New Roman" w:hAnsi="Times New Roman"/>
                    <w:sz w:val="20"/>
                  </w:rPr>
                  <w:t>27</w:t>
                </w:r>
              </w:p>
              <w:p w:rsidR="00AF6D98" w:rsidRPr="00DB4025" w:rsidRDefault="00AF6D98" w:rsidP="00312C88">
                <w:pPr>
                  <w:jc w:val="right"/>
                  <w:rPr>
                    <w:rFonts w:ascii="Times New Roman" w:hAnsi="Times New Roman"/>
                    <w:sz w:val="20"/>
                  </w:rPr>
                </w:pPr>
                <w:r w:rsidRPr="00DB4025">
                  <w:rPr>
                    <w:rFonts w:ascii="Times New Roman" w:hAnsi="Times New Roman"/>
                    <w:sz w:val="20"/>
                  </w:rPr>
                  <w:t>28</w:t>
                </w:r>
              </w:p>
              <w:p w:rsidR="00AF6D98" w:rsidRPr="00DB4025" w:rsidRDefault="00AF6D98" w:rsidP="00312C88">
                <w:pPr>
                  <w:jc w:val="right"/>
                  <w:rPr>
                    <w:rFonts w:ascii="Times New Roman" w:hAnsi="Times New Roman"/>
                    <w:sz w:val="20"/>
                  </w:rPr>
                </w:pPr>
              </w:p>
            </w:txbxContent>
          </v:textbox>
          <w10:wrap anchorx="margin" anchory="margin"/>
        </v:shape>
      </w:pict>
    </w:r>
    <w:r>
      <w:rPr>
        <w:noProof/>
      </w:rPr>
      <w:pict>
        <v:line id="RightBorder" o:spid="_x0000_s24583" style="position:absolute;z-index:251656192;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">
          <w10:wrap anchorx="margin" anchory="page"/>
        </v:line>
      </w:pict>
    </w:r>
    <w:r>
      <w:rPr>
        <w:noProof/>
      </w:rPr>
      <w:pict>
        <v:line id="LeftBorder2" o:spid="_x0000_s24582" style="position:absolute;z-index:251655168;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">
          <w10:wrap anchorx="margin" anchory="page"/>
        </v:line>
      </w:pict>
    </w:r>
    <w:r>
      <w:rPr>
        <w:noProof/>
      </w:rPr>
      <w:pict>
        <v:line id="LeftBorder1" o:spid="_x0000_s24581" style="position:absolute;z-index:251654144;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">
          <w10:wrap anchorx="margin" anchory="page"/>
        </v:lin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D98" w:rsidRPr="003B50E1" w:rsidRDefault="00AF6D98">
    <w:pPr>
      <w:pStyle w:val="Header"/>
      <w:rPr>
        <w:rFonts w:ascii="Times New Roman" w:hAnsi="Times New Roman"/>
      </w:rPr>
    </w:pPr>
    <w:r>
      <w:rPr>
        <w:rFonts w:ascii="Times New Roman" w:hAnsi="Times New Roman"/>
        <w:noProof/>
      </w:rPr>
      <w:pict>
        <v:shapetype id="_x0000_t202" coordsize="21600,21600" o:spt="202" path="m,l,21600r21600,l21600,xe">
          <v:stroke joinstyle="miter"/>
          <v:path gradientshapeok="t" o:connecttype="rect"/>
        </v:shapetype>
        <v:shape id="_x0000_s24580" type="#_x0000_t202" style="position:absolute;margin-left:-50.4pt;margin-top:-.5pt;width:36pt;height:6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OsdAIAAPs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" stroked="f">
          <v:textbox inset="0,0,0,0">
            <w:txbxContent>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3</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4</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5</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6</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7</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8</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9</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10</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11</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12</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13</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14</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15</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16</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17</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18</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19</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20</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21</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22</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23</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24</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25</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26</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27</w:t>
                </w:r>
              </w:p>
              <w:p w:rsidR="00AF6D98" w:rsidRPr="00791F20" w:rsidRDefault="00AF6D98" w:rsidP="00E41E89">
                <w:pPr>
                  <w:spacing w:line="480" w:lineRule="exact"/>
                  <w:jc w:val="right"/>
                  <w:rPr>
                    <w:rFonts w:ascii="Times New Roman" w:hAnsi="Times New Roman"/>
                    <w:szCs w:val="18"/>
                  </w:rPr>
                </w:pPr>
                <w:r w:rsidRPr="00791F20">
                  <w:rPr>
                    <w:rFonts w:ascii="Times New Roman" w:hAnsi="Times New Roman"/>
                    <w:szCs w:val="18"/>
                  </w:rPr>
                  <w:t>28</w:t>
                </w:r>
              </w:p>
              <w:p w:rsidR="00AF6D98" w:rsidRPr="00791F20" w:rsidRDefault="00AF6D98" w:rsidP="00E41E89">
                <w:pPr>
                  <w:spacing w:line="480" w:lineRule="exact"/>
                  <w:jc w:val="right"/>
                  <w:rPr>
                    <w:rFonts w:ascii="Times New Roman" w:hAnsi="Times New Roman"/>
                    <w:szCs w:val="18"/>
                  </w:rPr>
                </w:pPr>
              </w:p>
            </w:txbxContent>
          </v:textbox>
          <w10:wrap anchorx="margin" anchory="margin"/>
        </v:shape>
      </w:pict>
    </w:r>
    <w:r>
      <w:rPr>
        <w:rFonts w:ascii="Times New Roman" w:hAnsi="Times New Roman"/>
        <w:noProof/>
      </w:rPr>
      <w:pict>
        <v:line id="_x0000_s24579" style="position:absolute;z-index:25166028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25.25pt" to="468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">
          <w10:wrap anchorx="margin" anchory="page"/>
        </v:line>
      </w:pict>
    </w:r>
    <w:r>
      <w:rPr>
        <w:rFonts w:ascii="Times New Roman" w:hAnsi="Times New Roman"/>
        <w:noProof/>
      </w:rPr>
      <w:pict>
        <v:line id="_x0000_s24578" style="position:absolute;z-index:25165824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r/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C3Chr/FwIAAC0EAAAOAAAAAAAAAAAAAAAAAC4CAABkcnMvZTJvRG9jLnhtbFBLAQItABQABgAI&#10;AAAAIQAXfoPk3QAAAAkBAAAPAAAAAAAAAAAAAAAAAHEEAABkcnMvZG93bnJldi54bWxQSwUGAAAA&#10;AAQABADzAAAAewUAAAAA&#10;">
          <w10:wrap anchorx="margin" anchory="page"/>
        </v:line>
      </w:pict>
    </w:r>
    <w:r>
      <w:rPr>
        <w:rFonts w:ascii="Times New Roman" w:hAnsi="Times New Roman"/>
        <w:noProof/>
      </w:rPr>
      <w:pict>
        <v:line id="_x0000_s24577"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">
          <w10:wrap anchorx="margin"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7145"/>
    <w:multiLevelType w:val="hybridMultilevel"/>
    <w:tmpl w:val="E954D2A2"/>
    <w:lvl w:ilvl="0" w:tplc="B35E8D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C02B9"/>
    <w:multiLevelType w:val="hybridMultilevel"/>
    <w:tmpl w:val="676C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F859C4"/>
    <w:multiLevelType w:val="multilevel"/>
    <w:tmpl w:val="CADC0E22"/>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i w:val="0"/>
        <w:caps w:val="0"/>
        <w:smallCaps w:val="0"/>
        <w:strike w:val="0"/>
        <w:dstrike w:val="0"/>
        <w:vanish w:val="0"/>
        <w:color w:val="000000"/>
        <w:u w:val="none"/>
        <w:vertAlign w:val="baseline"/>
      </w:rPr>
    </w:lvl>
    <w:lvl w:ilvl="1">
      <w:start w:val="1"/>
      <w:numFmt w:val="upperLetter"/>
      <w:pStyle w:val="Pleading1L2"/>
      <w:lvlText w:val="%2."/>
      <w:lvlJc w:val="left"/>
      <w:pPr>
        <w:tabs>
          <w:tab w:val="num" w:pos="1440"/>
        </w:tabs>
        <w:ind w:left="1440" w:hanging="720"/>
      </w:pPr>
      <w:rPr>
        <w:rFonts w:ascii="Times New Roman" w:hAnsi="Times New Roman" w:cs="Times New Roman"/>
        <w:b/>
        <w:i w:val="0"/>
        <w:caps w:val="0"/>
        <w:smallCaps w:val="0"/>
        <w:strike w:val="0"/>
        <w:dstrike w:val="0"/>
        <w:vanish w:val="0"/>
        <w:color w:val="000000"/>
        <w:u w:val="none"/>
        <w:vertAlign w:val="baseline"/>
      </w:rPr>
    </w:lvl>
    <w:lvl w:ilvl="2">
      <w:start w:val="1"/>
      <w:numFmt w:val="decimal"/>
      <w:pStyle w:val="Pleading1L3"/>
      <w:lvlText w:val="%3."/>
      <w:lvlJc w:val="left"/>
      <w:pPr>
        <w:tabs>
          <w:tab w:val="num" w:pos="2160"/>
        </w:tabs>
        <w:ind w:left="2160" w:hanging="720"/>
      </w:pPr>
      <w:rPr>
        <w:rFonts w:ascii="Times New Roman" w:hAnsi="Times New Roman" w:cs="Times New Roman"/>
        <w:b/>
        <w:i w:val="0"/>
        <w:caps w:val="0"/>
        <w:smallCaps w:val="0"/>
        <w:strike w:val="0"/>
        <w:dstrike w:val="0"/>
        <w:vanish w:val="0"/>
        <w:color w:val="000000"/>
        <w:u w:val="none"/>
        <w:vertAlign w:val="baseline"/>
      </w:rPr>
    </w:lvl>
    <w:lvl w:ilvl="3">
      <w:start w:val="1"/>
      <w:numFmt w:val="lowerLetter"/>
      <w:pStyle w:val="Pleading1L4"/>
      <w:lvlText w:val="%4."/>
      <w:lvlJc w:val="left"/>
      <w:pPr>
        <w:tabs>
          <w:tab w:val="num" w:pos="2880"/>
        </w:tabs>
        <w:ind w:left="2880" w:hanging="720"/>
      </w:pPr>
      <w:rPr>
        <w:rFonts w:ascii="Times New Roman" w:hAnsi="Times New Roman" w:cs="Times New Roman"/>
        <w:b/>
        <w:i w:val="0"/>
        <w:caps w:val="0"/>
        <w:smallCaps w:val="0"/>
        <w:strike w:val="0"/>
        <w:dstrike w:val="0"/>
        <w:vanish w:val="0"/>
        <w:color w:val="000000"/>
        <w:u w:val="none"/>
        <w:vertAlign w:val="baseline"/>
      </w:rPr>
    </w:lvl>
    <w:lvl w:ilvl="4">
      <w:start w:val="1"/>
      <w:numFmt w:val="decimal"/>
      <w:pStyle w:val="Pleading1L5"/>
      <w:lvlText w:val="(%5)"/>
      <w:lvlJc w:val="left"/>
      <w:pPr>
        <w:tabs>
          <w:tab w:val="num" w:pos="3600"/>
        </w:tabs>
        <w:ind w:left="3600" w:hanging="720"/>
      </w:pPr>
      <w:rPr>
        <w:rFonts w:ascii="Times New Roman" w:hAnsi="Times New Roman" w:cs="Times New Roman"/>
        <w:b/>
        <w:i w:val="0"/>
        <w:caps w:val="0"/>
        <w:smallCaps w:val="0"/>
        <w:strike w:val="0"/>
        <w:dstrike w:val="0"/>
        <w:vanish w:val="0"/>
        <w:color w:val="000000"/>
        <w:u w:val="none"/>
        <w:vertAlign w:val="base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mallCaps w:val="0"/>
        <w:strike w:val="0"/>
        <w:dstrike w:val="0"/>
        <w:vanish w:val="0"/>
        <w:color w:val="000000"/>
        <w:u w:val="none"/>
        <w:vertAlign w:val="base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mallCaps w:val="0"/>
        <w:strike w:val="0"/>
        <w:dstrike w:val="0"/>
        <w:vanish w:val="0"/>
        <w:color w:val="000000"/>
        <w:u w:val="none"/>
        <w:vertAlign w:val="base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mallCaps w:val="0"/>
        <w:strike w:val="0"/>
        <w:dstrike w:val="0"/>
        <w:vanish w:val="0"/>
        <w:color w:val="000000"/>
        <w:u w:val="none"/>
        <w:vertAlign w:val="base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mallCaps w:val="0"/>
        <w:strike w:val="0"/>
        <w:dstrike w:val="0"/>
        <w:vanish w:val="0"/>
        <w:color w:val="000000"/>
        <w:u w:val="none"/>
        <w:vertAlign w:val="baseline"/>
      </w:rPr>
    </w:lvl>
  </w:abstractNum>
  <w:abstractNum w:abstractNumId="3">
    <w:nsid w:val="182F6B8C"/>
    <w:multiLevelType w:val="hybridMultilevel"/>
    <w:tmpl w:val="2068B4F8"/>
    <w:lvl w:ilvl="0" w:tplc="C3F4E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02A3014"/>
    <w:multiLevelType w:val="hybridMultilevel"/>
    <w:tmpl w:val="0E1242EA"/>
    <w:lvl w:ilvl="0" w:tplc="04090019">
      <w:start w:val="3"/>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88341B1"/>
    <w:multiLevelType w:val="hybridMultilevel"/>
    <w:tmpl w:val="B9AA251C"/>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6">
    <w:nsid w:val="3E190E4B"/>
    <w:multiLevelType w:val="hybridMultilevel"/>
    <w:tmpl w:val="39A865AA"/>
    <w:lvl w:ilvl="0" w:tplc="A09AC25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03264A"/>
    <w:multiLevelType w:val="hybridMultilevel"/>
    <w:tmpl w:val="09AED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3F2ABE"/>
    <w:multiLevelType w:val="hybridMultilevel"/>
    <w:tmpl w:val="5F4A0B5E"/>
    <w:lvl w:ilvl="0" w:tplc="DEE821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E7361DC"/>
    <w:multiLevelType w:val="hybridMultilevel"/>
    <w:tmpl w:val="F432D880"/>
    <w:lvl w:ilvl="0" w:tplc="63229CC6">
      <w:start w:val="1"/>
      <w:numFmt w:val="upperRoman"/>
      <w:lvlText w:val="%1."/>
      <w:lvlJc w:val="right"/>
      <w:pPr>
        <w:ind w:left="1440" w:hanging="360"/>
      </w:pPr>
      <w:rPr>
        <w:b/>
      </w:rPr>
    </w:lvl>
    <w:lvl w:ilvl="1" w:tplc="04090015">
      <w:start w:val="1"/>
      <w:numFmt w:val="upp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7EE7F07"/>
    <w:multiLevelType w:val="hybridMultilevel"/>
    <w:tmpl w:val="1026FF04"/>
    <w:lvl w:ilvl="0" w:tplc="87949B1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CB8590D"/>
    <w:multiLevelType w:val="hybridMultilevel"/>
    <w:tmpl w:val="309AFBC2"/>
    <w:lvl w:ilvl="0" w:tplc="5DFAB5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F056C4"/>
    <w:multiLevelType w:val="hybridMultilevel"/>
    <w:tmpl w:val="4E4C277C"/>
    <w:lvl w:ilvl="0" w:tplc="7A602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60C6FA3"/>
    <w:multiLevelType w:val="hybridMultilevel"/>
    <w:tmpl w:val="31E48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253C7F"/>
    <w:multiLevelType w:val="hybridMultilevel"/>
    <w:tmpl w:val="0868C198"/>
    <w:lvl w:ilvl="0" w:tplc="6DF81C0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9"/>
  </w:num>
  <w:num w:numId="3">
    <w:abstractNumId w:val="4"/>
  </w:num>
  <w:num w:numId="4">
    <w:abstractNumId w:val="3"/>
  </w:num>
  <w:num w:numId="5">
    <w:abstractNumId w:val="12"/>
  </w:num>
  <w:num w:numId="6">
    <w:abstractNumId w:val="5"/>
  </w:num>
  <w:num w:numId="7">
    <w:abstractNumId w:val="13"/>
  </w:num>
  <w:num w:numId="8">
    <w:abstractNumId w:val="7"/>
  </w:num>
  <w:num w:numId="9">
    <w:abstractNumId w:val="6"/>
  </w:num>
  <w:num w:numId="10">
    <w:abstractNumId w:val="0"/>
  </w:num>
  <w:num w:numId="11">
    <w:abstractNumId w:val="1"/>
  </w:num>
  <w:num w:numId="12">
    <w:abstractNumId w:val="8"/>
  </w:num>
  <w:num w:numId="13">
    <w:abstractNumId w:val="14"/>
  </w:num>
  <w:num w:numId="14">
    <w:abstractNumId w:val="11"/>
  </w:num>
  <w:num w:numId="15">
    <w:abstractNumId w:val="1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hideSpellingErrors/>
  <w:hideGrammaticalErrors/>
  <w:proofState w:spelling="clean" w:grammar="clean"/>
  <w:attachedTemplate r:id="rId1"/>
  <w:stylePaneFormatFilter w:val="3F01"/>
  <w:defaultTabStop w:val="720"/>
  <w:drawingGridHorizontalSpacing w:val="90"/>
  <w:drawingGridVerticalSpacing w:val="187"/>
  <w:displayHorizontalDrawingGridEvery w:val="2"/>
  <w:noPunctuationKerning/>
  <w:characterSpacingControl w:val="doNotCompress"/>
  <w:hdrShapeDefaults>
    <o:shapedefaults v:ext="edit" spidmax="24591"/>
    <o:shapelayout v:ext="edit">
      <o:idmap v:ext="edit" data="24"/>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37BBC"/>
    <w:rsid w:val="000012E8"/>
    <w:rsid w:val="0000309A"/>
    <w:rsid w:val="000049FC"/>
    <w:rsid w:val="000053A4"/>
    <w:rsid w:val="00011306"/>
    <w:rsid w:val="00013BB0"/>
    <w:rsid w:val="000162B2"/>
    <w:rsid w:val="00021316"/>
    <w:rsid w:val="00024571"/>
    <w:rsid w:val="0002634A"/>
    <w:rsid w:val="000268A5"/>
    <w:rsid w:val="000321CD"/>
    <w:rsid w:val="00033706"/>
    <w:rsid w:val="000342B9"/>
    <w:rsid w:val="000416BD"/>
    <w:rsid w:val="00041BA1"/>
    <w:rsid w:val="00041E4C"/>
    <w:rsid w:val="00041F23"/>
    <w:rsid w:val="00042169"/>
    <w:rsid w:val="00046332"/>
    <w:rsid w:val="0004739D"/>
    <w:rsid w:val="0005367E"/>
    <w:rsid w:val="00053C22"/>
    <w:rsid w:val="00053CE4"/>
    <w:rsid w:val="000543C3"/>
    <w:rsid w:val="00055B24"/>
    <w:rsid w:val="00055CC5"/>
    <w:rsid w:val="00056226"/>
    <w:rsid w:val="00056D18"/>
    <w:rsid w:val="00062EE5"/>
    <w:rsid w:val="000652E3"/>
    <w:rsid w:val="00065813"/>
    <w:rsid w:val="00066753"/>
    <w:rsid w:val="00066C6F"/>
    <w:rsid w:val="00067E6D"/>
    <w:rsid w:val="00067F38"/>
    <w:rsid w:val="00067F9D"/>
    <w:rsid w:val="000704CD"/>
    <w:rsid w:val="00072099"/>
    <w:rsid w:val="00072784"/>
    <w:rsid w:val="00076260"/>
    <w:rsid w:val="0007629F"/>
    <w:rsid w:val="000767E5"/>
    <w:rsid w:val="0008182B"/>
    <w:rsid w:val="000826A7"/>
    <w:rsid w:val="00082B22"/>
    <w:rsid w:val="00083095"/>
    <w:rsid w:val="00083B4B"/>
    <w:rsid w:val="00083EB2"/>
    <w:rsid w:val="00084867"/>
    <w:rsid w:val="00086C84"/>
    <w:rsid w:val="00087897"/>
    <w:rsid w:val="00087932"/>
    <w:rsid w:val="0009030F"/>
    <w:rsid w:val="000903C0"/>
    <w:rsid w:val="000921D5"/>
    <w:rsid w:val="000924D3"/>
    <w:rsid w:val="00092ABE"/>
    <w:rsid w:val="00093719"/>
    <w:rsid w:val="000957F4"/>
    <w:rsid w:val="0009595E"/>
    <w:rsid w:val="000966DB"/>
    <w:rsid w:val="000A0A61"/>
    <w:rsid w:val="000A0EED"/>
    <w:rsid w:val="000A2DDC"/>
    <w:rsid w:val="000A46BB"/>
    <w:rsid w:val="000A4A2D"/>
    <w:rsid w:val="000A4D26"/>
    <w:rsid w:val="000A6FBB"/>
    <w:rsid w:val="000B03CE"/>
    <w:rsid w:val="000B0616"/>
    <w:rsid w:val="000B10BA"/>
    <w:rsid w:val="000B1AFD"/>
    <w:rsid w:val="000B1C1E"/>
    <w:rsid w:val="000B2148"/>
    <w:rsid w:val="000B3E0D"/>
    <w:rsid w:val="000B4D50"/>
    <w:rsid w:val="000B64EB"/>
    <w:rsid w:val="000C0A66"/>
    <w:rsid w:val="000C1E54"/>
    <w:rsid w:val="000C204C"/>
    <w:rsid w:val="000C2BDA"/>
    <w:rsid w:val="000C7A9C"/>
    <w:rsid w:val="000C7E28"/>
    <w:rsid w:val="000C7F08"/>
    <w:rsid w:val="000D0204"/>
    <w:rsid w:val="000D09BE"/>
    <w:rsid w:val="000D21A2"/>
    <w:rsid w:val="000D5825"/>
    <w:rsid w:val="000D7677"/>
    <w:rsid w:val="000D7FEA"/>
    <w:rsid w:val="000E2C04"/>
    <w:rsid w:val="000E5726"/>
    <w:rsid w:val="000E629A"/>
    <w:rsid w:val="000F189C"/>
    <w:rsid w:val="000F26AD"/>
    <w:rsid w:val="000F2A35"/>
    <w:rsid w:val="000F31F3"/>
    <w:rsid w:val="000F459F"/>
    <w:rsid w:val="000F4FC9"/>
    <w:rsid w:val="000F5DB6"/>
    <w:rsid w:val="000F6AE5"/>
    <w:rsid w:val="00100495"/>
    <w:rsid w:val="0010183D"/>
    <w:rsid w:val="00103706"/>
    <w:rsid w:val="00106455"/>
    <w:rsid w:val="00106E3E"/>
    <w:rsid w:val="001100D3"/>
    <w:rsid w:val="00110426"/>
    <w:rsid w:val="001114E0"/>
    <w:rsid w:val="00113AA8"/>
    <w:rsid w:val="00113B5E"/>
    <w:rsid w:val="00114741"/>
    <w:rsid w:val="001156C2"/>
    <w:rsid w:val="00122317"/>
    <w:rsid w:val="0012241E"/>
    <w:rsid w:val="0012252E"/>
    <w:rsid w:val="00125447"/>
    <w:rsid w:val="001274F8"/>
    <w:rsid w:val="001302D3"/>
    <w:rsid w:val="0013065B"/>
    <w:rsid w:val="001322DE"/>
    <w:rsid w:val="001348E8"/>
    <w:rsid w:val="0013588B"/>
    <w:rsid w:val="00136900"/>
    <w:rsid w:val="00136E15"/>
    <w:rsid w:val="00137687"/>
    <w:rsid w:val="001410E9"/>
    <w:rsid w:val="001435D2"/>
    <w:rsid w:val="001459DB"/>
    <w:rsid w:val="00150139"/>
    <w:rsid w:val="00151863"/>
    <w:rsid w:val="00151D8A"/>
    <w:rsid w:val="0015286F"/>
    <w:rsid w:val="00152A79"/>
    <w:rsid w:val="001544A6"/>
    <w:rsid w:val="00155470"/>
    <w:rsid w:val="001555C8"/>
    <w:rsid w:val="00156075"/>
    <w:rsid w:val="00160D21"/>
    <w:rsid w:val="0016179B"/>
    <w:rsid w:val="001618EA"/>
    <w:rsid w:val="00161FDD"/>
    <w:rsid w:val="00163572"/>
    <w:rsid w:val="00163C0F"/>
    <w:rsid w:val="001656D6"/>
    <w:rsid w:val="0016677E"/>
    <w:rsid w:val="00166AF3"/>
    <w:rsid w:val="00170471"/>
    <w:rsid w:val="00172450"/>
    <w:rsid w:val="00172880"/>
    <w:rsid w:val="00176C93"/>
    <w:rsid w:val="00177F28"/>
    <w:rsid w:val="00180DFD"/>
    <w:rsid w:val="00182B90"/>
    <w:rsid w:val="00183806"/>
    <w:rsid w:val="00183927"/>
    <w:rsid w:val="00183A64"/>
    <w:rsid w:val="00183D7E"/>
    <w:rsid w:val="00192499"/>
    <w:rsid w:val="00195774"/>
    <w:rsid w:val="00195B50"/>
    <w:rsid w:val="0019670A"/>
    <w:rsid w:val="001A261B"/>
    <w:rsid w:val="001A2D40"/>
    <w:rsid w:val="001A35CD"/>
    <w:rsid w:val="001A3776"/>
    <w:rsid w:val="001A3823"/>
    <w:rsid w:val="001A403D"/>
    <w:rsid w:val="001A53B8"/>
    <w:rsid w:val="001A54DC"/>
    <w:rsid w:val="001B0B1C"/>
    <w:rsid w:val="001B3B04"/>
    <w:rsid w:val="001B4CC4"/>
    <w:rsid w:val="001B4FA5"/>
    <w:rsid w:val="001B58CC"/>
    <w:rsid w:val="001B6F13"/>
    <w:rsid w:val="001B7D12"/>
    <w:rsid w:val="001B7FAD"/>
    <w:rsid w:val="001C2560"/>
    <w:rsid w:val="001C25C1"/>
    <w:rsid w:val="001C3112"/>
    <w:rsid w:val="001C3732"/>
    <w:rsid w:val="001C4B8A"/>
    <w:rsid w:val="001C5F55"/>
    <w:rsid w:val="001C6424"/>
    <w:rsid w:val="001C6465"/>
    <w:rsid w:val="001C648B"/>
    <w:rsid w:val="001C6D9E"/>
    <w:rsid w:val="001C714F"/>
    <w:rsid w:val="001C73A9"/>
    <w:rsid w:val="001D4A63"/>
    <w:rsid w:val="001D61BA"/>
    <w:rsid w:val="001D666D"/>
    <w:rsid w:val="001E2C2A"/>
    <w:rsid w:val="001E6437"/>
    <w:rsid w:val="001E6B73"/>
    <w:rsid w:val="001E78BC"/>
    <w:rsid w:val="001F312D"/>
    <w:rsid w:val="001F3C8A"/>
    <w:rsid w:val="001F423F"/>
    <w:rsid w:val="001F4572"/>
    <w:rsid w:val="001F6182"/>
    <w:rsid w:val="001F679C"/>
    <w:rsid w:val="001F7374"/>
    <w:rsid w:val="00200091"/>
    <w:rsid w:val="002000DE"/>
    <w:rsid w:val="00200DC6"/>
    <w:rsid w:val="0020263F"/>
    <w:rsid w:val="00204409"/>
    <w:rsid w:val="0020566F"/>
    <w:rsid w:val="0020622D"/>
    <w:rsid w:val="002067DF"/>
    <w:rsid w:val="00207502"/>
    <w:rsid w:val="002079BF"/>
    <w:rsid w:val="00210870"/>
    <w:rsid w:val="00211FA7"/>
    <w:rsid w:val="00213E1D"/>
    <w:rsid w:val="00213F43"/>
    <w:rsid w:val="0021416A"/>
    <w:rsid w:val="0021441F"/>
    <w:rsid w:val="00217A31"/>
    <w:rsid w:val="00217C9C"/>
    <w:rsid w:val="002223E3"/>
    <w:rsid w:val="00222F90"/>
    <w:rsid w:val="00223743"/>
    <w:rsid w:val="00224547"/>
    <w:rsid w:val="00225F53"/>
    <w:rsid w:val="00225FBA"/>
    <w:rsid w:val="00227BF3"/>
    <w:rsid w:val="0023044C"/>
    <w:rsid w:val="00230FB6"/>
    <w:rsid w:val="00232423"/>
    <w:rsid w:val="002326AD"/>
    <w:rsid w:val="00232C57"/>
    <w:rsid w:val="00235DF6"/>
    <w:rsid w:val="00236265"/>
    <w:rsid w:val="00240079"/>
    <w:rsid w:val="00240498"/>
    <w:rsid w:val="0024138E"/>
    <w:rsid w:val="002447DF"/>
    <w:rsid w:val="00244E0E"/>
    <w:rsid w:val="002506CE"/>
    <w:rsid w:val="0025193D"/>
    <w:rsid w:val="002519EA"/>
    <w:rsid w:val="002541DB"/>
    <w:rsid w:val="00254407"/>
    <w:rsid w:val="00256103"/>
    <w:rsid w:val="00257926"/>
    <w:rsid w:val="002639A9"/>
    <w:rsid w:val="00263CEC"/>
    <w:rsid w:val="0026551F"/>
    <w:rsid w:val="00266302"/>
    <w:rsid w:val="00266F76"/>
    <w:rsid w:val="00270B4C"/>
    <w:rsid w:val="002714EB"/>
    <w:rsid w:val="002743A4"/>
    <w:rsid w:val="00275F11"/>
    <w:rsid w:val="0027641A"/>
    <w:rsid w:val="00277215"/>
    <w:rsid w:val="00277313"/>
    <w:rsid w:val="00277580"/>
    <w:rsid w:val="00281239"/>
    <w:rsid w:val="00283320"/>
    <w:rsid w:val="0028485F"/>
    <w:rsid w:val="00285615"/>
    <w:rsid w:val="002859B1"/>
    <w:rsid w:val="00285C1B"/>
    <w:rsid w:val="00285C46"/>
    <w:rsid w:val="00286B61"/>
    <w:rsid w:val="002871BB"/>
    <w:rsid w:val="00287228"/>
    <w:rsid w:val="00287333"/>
    <w:rsid w:val="002922C5"/>
    <w:rsid w:val="002950B2"/>
    <w:rsid w:val="002951B7"/>
    <w:rsid w:val="002A08B2"/>
    <w:rsid w:val="002A1569"/>
    <w:rsid w:val="002A238D"/>
    <w:rsid w:val="002A3027"/>
    <w:rsid w:val="002A3A52"/>
    <w:rsid w:val="002A3BEF"/>
    <w:rsid w:val="002A3F35"/>
    <w:rsid w:val="002A5367"/>
    <w:rsid w:val="002A54BA"/>
    <w:rsid w:val="002A6330"/>
    <w:rsid w:val="002A6682"/>
    <w:rsid w:val="002A68E2"/>
    <w:rsid w:val="002A6AE3"/>
    <w:rsid w:val="002B03F3"/>
    <w:rsid w:val="002B04DA"/>
    <w:rsid w:val="002B0BE8"/>
    <w:rsid w:val="002B32FD"/>
    <w:rsid w:val="002B62F1"/>
    <w:rsid w:val="002B7AA0"/>
    <w:rsid w:val="002C0172"/>
    <w:rsid w:val="002C28EB"/>
    <w:rsid w:val="002C2DAF"/>
    <w:rsid w:val="002C3E4D"/>
    <w:rsid w:val="002C4007"/>
    <w:rsid w:val="002C4F70"/>
    <w:rsid w:val="002C52AE"/>
    <w:rsid w:val="002C5B77"/>
    <w:rsid w:val="002C69E8"/>
    <w:rsid w:val="002D05CE"/>
    <w:rsid w:val="002D0C4A"/>
    <w:rsid w:val="002D4B8A"/>
    <w:rsid w:val="002D59C0"/>
    <w:rsid w:val="002D5C19"/>
    <w:rsid w:val="002D764A"/>
    <w:rsid w:val="002D7C91"/>
    <w:rsid w:val="002E0B24"/>
    <w:rsid w:val="002E0C34"/>
    <w:rsid w:val="002E20E7"/>
    <w:rsid w:val="002E3A32"/>
    <w:rsid w:val="002E3AC3"/>
    <w:rsid w:val="002E3DDE"/>
    <w:rsid w:val="002E45F4"/>
    <w:rsid w:val="002E5700"/>
    <w:rsid w:val="002E6E3F"/>
    <w:rsid w:val="002E7756"/>
    <w:rsid w:val="002E7C37"/>
    <w:rsid w:val="002F5D77"/>
    <w:rsid w:val="002F6632"/>
    <w:rsid w:val="002F702D"/>
    <w:rsid w:val="00300E95"/>
    <w:rsid w:val="00301216"/>
    <w:rsid w:val="003033B5"/>
    <w:rsid w:val="00303484"/>
    <w:rsid w:val="00305491"/>
    <w:rsid w:val="003059B5"/>
    <w:rsid w:val="0030673B"/>
    <w:rsid w:val="003078FE"/>
    <w:rsid w:val="0031130E"/>
    <w:rsid w:val="00311530"/>
    <w:rsid w:val="0031197B"/>
    <w:rsid w:val="00311F18"/>
    <w:rsid w:val="0031207A"/>
    <w:rsid w:val="00312C88"/>
    <w:rsid w:val="00313D4F"/>
    <w:rsid w:val="00313F2E"/>
    <w:rsid w:val="00314CF6"/>
    <w:rsid w:val="00316F9B"/>
    <w:rsid w:val="00322BF4"/>
    <w:rsid w:val="00322FFE"/>
    <w:rsid w:val="00323886"/>
    <w:rsid w:val="00324753"/>
    <w:rsid w:val="0032547D"/>
    <w:rsid w:val="00330705"/>
    <w:rsid w:val="00330CFF"/>
    <w:rsid w:val="0033186D"/>
    <w:rsid w:val="00332784"/>
    <w:rsid w:val="003340F3"/>
    <w:rsid w:val="00336AE3"/>
    <w:rsid w:val="00345389"/>
    <w:rsid w:val="00345784"/>
    <w:rsid w:val="00347FD8"/>
    <w:rsid w:val="00350313"/>
    <w:rsid w:val="00351CB5"/>
    <w:rsid w:val="0035393D"/>
    <w:rsid w:val="0035432F"/>
    <w:rsid w:val="0035643E"/>
    <w:rsid w:val="0036077E"/>
    <w:rsid w:val="00360F62"/>
    <w:rsid w:val="003610CA"/>
    <w:rsid w:val="003634E3"/>
    <w:rsid w:val="00364158"/>
    <w:rsid w:val="003664FE"/>
    <w:rsid w:val="00366C0A"/>
    <w:rsid w:val="00367367"/>
    <w:rsid w:val="00370C2E"/>
    <w:rsid w:val="0037235E"/>
    <w:rsid w:val="00373E75"/>
    <w:rsid w:val="003740EE"/>
    <w:rsid w:val="00374FC7"/>
    <w:rsid w:val="00376C72"/>
    <w:rsid w:val="0037705B"/>
    <w:rsid w:val="0038221D"/>
    <w:rsid w:val="00383362"/>
    <w:rsid w:val="003837A0"/>
    <w:rsid w:val="00384465"/>
    <w:rsid w:val="00384BE6"/>
    <w:rsid w:val="003854B4"/>
    <w:rsid w:val="003866F9"/>
    <w:rsid w:val="003869F5"/>
    <w:rsid w:val="00391D28"/>
    <w:rsid w:val="003955B6"/>
    <w:rsid w:val="003A0635"/>
    <w:rsid w:val="003A1293"/>
    <w:rsid w:val="003A1E6E"/>
    <w:rsid w:val="003A3ABB"/>
    <w:rsid w:val="003A3C60"/>
    <w:rsid w:val="003A4B19"/>
    <w:rsid w:val="003A5CC9"/>
    <w:rsid w:val="003A7667"/>
    <w:rsid w:val="003B0D06"/>
    <w:rsid w:val="003B1E46"/>
    <w:rsid w:val="003B3EE4"/>
    <w:rsid w:val="003B4927"/>
    <w:rsid w:val="003B4C89"/>
    <w:rsid w:val="003B52AF"/>
    <w:rsid w:val="003B68E4"/>
    <w:rsid w:val="003B7ABA"/>
    <w:rsid w:val="003B7B2A"/>
    <w:rsid w:val="003C071B"/>
    <w:rsid w:val="003C514A"/>
    <w:rsid w:val="003C6564"/>
    <w:rsid w:val="003C7AA4"/>
    <w:rsid w:val="003D0637"/>
    <w:rsid w:val="003D1D80"/>
    <w:rsid w:val="003D2225"/>
    <w:rsid w:val="003D2246"/>
    <w:rsid w:val="003D381C"/>
    <w:rsid w:val="003D4AC9"/>
    <w:rsid w:val="003D4EB8"/>
    <w:rsid w:val="003D5B01"/>
    <w:rsid w:val="003E1299"/>
    <w:rsid w:val="003E2C9E"/>
    <w:rsid w:val="003E2DE9"/>
    <w:rsid w:val="003E38F3"/>
    <w:rsid w:val="003E427D"/>
    <w:rsid w:val="003E47AC"/>
    <w:rsid w:val="003E5433"/>
    <w:rsid w:val="003E6998"/>
    <w:rsid w:val="003E7FE8"/>
    <w:rsid w:val="003F10A7"/>
    <w:rsid w:val="003F2322"/>
    <w:rsid w:val="003F384B"/>
    <w:rsid w:val="003F4619"/>
    <w:rsid w:val="003F6276"/>
    <w:rsid w:val="004010DD"/>
    <w:rsid w:val="00401296"/>
    <w:rsid w:val="00402200"/>
    <w:rsid w:val="00402276"/>
    <w:rsid w:val="004042DA"/>
    <w:rsid w:val="00404FA9"/>
    <w:rsid w:val="00405FE8"/>
    <w:rsid w:val="0040660B"/>
    <w:rsid w:val="00406C22"/>
    <w:rsid w:val="004070A6"/>
    <w:rsid w:val="0040732F"/>
    <w:rsid w:val="00407352"/>
    <w:rsid w:val="00413110"/>
    <w:rsid w:val="0041396A"/>
    <w:rsid w:val="004164E4"/>
    <w:rsid w:val="00416A2C"/>
    <w:rsid w:val="00416E77"/>
    <w:rsid w:val="00416F51"/>
    <w:rsid w:val="00417EAE"/>
    <w:rsid w:val="00425F6E"/>
    <w:rsid w:val="004264B4"/>
    <w:rsid w:val="00426824"/>
    <w:rsid w:val="00427183"/>
    <w:rsid w:val="00435316"/>
    <w:rsid w:val="00437139"/>
    <w:rsid w:val="00437BBC"/>
    <w:rsid w:val="00437F95"/>
    <w:rsid w:val="004400CC"/>
    <w:rsid w:val="0044111C"/>
    <w:rsid w:val="0044185E"/>
    <w:rsid w:val="00443789"/>
    <w:rsid w:val="004449E8"/>
    <w:rsid w:val="00445F3A"/>
    <w:rsid w:val="00446103"/>
    <w:rsid w:val="0044670B"/>
    <w:rsid w:val="0044786A"/>
    <w:rsid w:val="004507C3"/>
    <w:rsid w:val="00450CDC"/>
    <w:rsid w:val="00451679"/>
    <w:rsid w:val="00453969"/>
    <w:rsid w:val="00457B85"/>
    <w:rsid w:val="004605CF"/>
    <w:rsid w:val="00460E5C"/>
    <w:rsid w:val="00460EE7"/>
    <w:rsid w:val="004614C8"/>
    <w:rsid w:val="00461A8D"/>
    <w:rsid w:val="00462373"/>
    <w:rsid w:val="00465920"/>
    <w:rsid w:val="00465D21"/>
    <w:rsid w:val="0046636D"/>
    <w:rsid w:val="004667FE"/>
    <w:rsid w:val="00466A62"/>
    <w:rsid w:val="00466F74"/>
    <w:rsid w:val="004704F5"/>
    <w:rsid w:val="004714FD"/>
    <w:rsid w:val="00471EE2"/>
    <w:rsid w:val="00472AC3"/>
    <w:rsid w:val="00474F6E"/>
    <w:rsid w:val="00475756"/>
    <w:rsid w:val="00476A3B"/>
    <w:rsid w:val="0048005A"/>
    <w:rsid w:val="00480983"/>
    <w:rsid w:val="00481722"/>
    <w:rsid w:val="0048202E"/>
    <w:rsid w:val="00483873"/>
    <w:rsid w:val="00483CDA"/>
    <w:rsid w:val="004842AD"/>
    <w:rsid w:val="00484456"/>
    <w:rsid w:val="00485D63"/>
    <w:rsid w:val="00485F13"/>
    <w:rsid w:val="00485F97"/>
    <w:rsid w:val="00486F16"/>
    <w:rsid w:val="00490790"/>
    <w:rsid w:val="0049137D"/>
    <w:rsid w:val="004956B1"/>
    <w:rsid w:val="004A0096"/>
    <w:rsid w:val="004A2D84"/>
    <w:rsid w:val="004A3CA2"/>
    <w:rsid w:val="004A3E33"/>
    <w:rsid w:val="004A40F8"/>
    <w:rsid w:val="004B0CB6"/>
    <w:rsid w:val="004B2AEB"/>
    <w:rsid w:val="004B3614"/>
    <w:rsid w:val="004B3BAB"/>
    <w:rsid w:val="004B56B7"/>
    <w:rsid w:val="004B5910"/>
    <w:rsid w:val="004C2915"/>
    <w:rsid w:val="004C304E"/>
    <w:rsid w:val="004C354C"/>
    <w:rsid w:val="004C3614"/>
    <w:rsid w:val="004C69CB"/>
    <w:rsid w:val="004C741C"/>
    <w:rsid w:val="004D052E"/>
    <w:rsid w:val="004D29A1"/>
    <w:rsid w:val="004D2B4B"/>
    <w:rsid w:val="004D3C9C"/>
    <w:rsid w:val="004D4BE2"/>
    <w:rsid w:val="004D6BCE"/>
    <w:rsid w:val="004D6D7E"/>
    <w:rsid w:val="004E078C"/>
    <w:rsid w:val="004E1742"/>
    <w:rsid w:val="004E21AE"/>
    <w:rsid w:val="004E3548"/>
    <w:rsid w:val="004E4E2B"/>
    <w:rsid w:val="004E7DD8"/>
    <w:rsid w:val="004F1956"/>
    <w:rsid w:val="004F1A6B"/>
    <w:rsid w:val="004F21A1"/>
    <w:rsid w:val="004F4792"/>
    <w:rsid w:val="004F572E"/>
    <w:rsid w:val="004F5F10"/>
    <w:rsid w:val="004F736D"/>
    <w:rsid w:val="0050142C"/>
    <w:rsid w:val="0050166F"/>
    <w:rsid w:val="005024EC"/>
    <w:rsid w:val="00502625"/>
    <w:rsid w:val="00502D1D"/>
    <w:rsid w:val="00503EE0"/>
    <w:rsid w:val="0050459B"/>
    <w:rsid w:val="00504C72"/>
    <w:rsid w:val="00506081"/>
    <w:rsid w:val="005072EB"/>
    <w:rsid w:val="00511957"/>
    <w:rsid w:val="005120AA"/>
    <w:rsid w:val="00512B16"/>
    <w:rsid w:val="00513694"/>
    <w:rsid w:val="00513A3F"/>
    <w:rsid w:val="00513FD2"/>
    <w:rsid w:val="0051610E"/>
    <w:rsid w:val="00516F27"/>
    <w:rsid w:val="0051780E"/>
    <w:rsid w:val="00521618"/>
    <w:rsid w:val="00524E58"/>
    <w:rsid w:val="00526B53"/>
    <w:rsid w:val="00526BBF"/>
    <w:rsid w:val="00527442"/>
    <w:rsid w:val="00527479"/>
    <w:rsid w:val="005355E8"/>
    <w:rsid w:val="00535DD7"/>
    <w:rsid w:val="0053669F"/>
    <w:rsid w:val="005366DE"/>
    <w:rsid w:val="00545873"/>
    <w:rsid w:val="00547355"/>
    <w:rsid w:val="00547B1D"/>
    <w:rsid w:val="00551CEE"/>
    <w:rsid w:val="00551FDC"/>
    <w:rsid w:val="00553F7F"/>
    <w:rsid w:val="00554E27"/>
    <w:rsid w:val="00555CC0"/>
    <w:rsid w:val="00556FDF"/>
    <w:rsid w:val="0056180D"/>
    <w:rsid w:val="005626B4"/>
    <w:rsid w:val="00562753"/>
    <w:rsid w:val="00563BEE"/>
    <w:rsid w:val="00563EC6"/>
    <w:rsid w:val="00564C8C"/>
    <w:rsid w:val="00565EE4"/>
    <w:rsid w:val="0057056E"/>
    <w:rsid w:val="00570A18"/>
    <w:rsid w:val="005712DA"/>
    <w:rsid w:val="00573BE7"/>
    <w:rsid w:val="00573E31"/>
    <w:rsid w:val="005745C9"/>
    <w:rsid w:val="00574D6C"/>
    <w:rsid w:val="005776FA"/>
    <w:rsid w:val="005812A5"/>
    <w:rsid w:val="00581CFD"/>
    <w:rsid w:val="00582A31"/>
    <w:rsid w:val="00583CB8"/>
    <w:rsid w:val="00586E7F"/>
    <w:rsid w:val="00587475"/>
    <w:rsid w:val="005877C6"/>
    <w:rsid w:val="00590BD3"/>
    <w:rsid w:val="00590D8E"/>
    <w:rsid w:val="005911BE"/>
    <w:rsid w:val="00595DAF"/>
    <w:rsid w:val="005964D4"/>
    <w:rsid w:val="005978A2"/>
    <w:rsid w:val="005A034C"/>
    <w:rsid w:val="005A16BE"/>
    <w:rsid w:val="005A263D"/>
    <w:rsid w:val="005A3463"/>
    <w:rsid w:val="005A3800"/>
    <w:rsid w:val="005A480F"/>
    <w:rsid w:val="005A5C95"/>
    <w:rsid w:val="005A5E11"/>
    <w:rsid w:val="005A7F26"/>
    <w:rsid w:val="005B1749"/>
    <w:rsid w:val="005B2959"/>
    <w:rsid w:val="005B399C"/>
    <w:rsid w:val="005B51EA"/>
    <w:rsid w:val="005B55F1"/>
    <w:rsid w:val="005B5FD6"/>
    <w:rsid w:val="005B6D56"/>
    <w:rsid w:val="005C09BB"/>
    <w:rsid w:val="005C2DFC"/>
    <w:rsid w:val="005C36D8"/>
    <w:rsid w:val="005C389F"/>
    <w:rsid w:val="005C39A3"/>
    <w:rsid w:val="005C4103"/>
    <w:rsid w:val="005C4518"/>
    <w:rsid w:val="005C4B8C"/>
    <w:rsid w:val="005C52FE"/>
    <w:rsid w:val="005C6025"/>
    <w:rsid w:val="005C65A4"/>
    <w:rsid w:val="005C741C"/>
    <w:rsid w:val="005C7656"/>
    <w:rsid w:val="005D24D0"/>
    <w:rsid w:val="005D27EC"/>
    <w:rsid w:val="005D2FC0"/>
    <w:rsid w:val="005D321E"/>
    <w:rsid w:val="005D3614"/>
    <w:rsid w:val="005D3672"/>
    <w:rsid w:val="005D5677"/>
    <w:rsid w:val="005D707E"/>
    <w:rsid w:val="005D7A31"/>
    <w:rsid w:val="005E030B"/>
    <w:rsid w:val="005E1976"/>
    <w:rsid w:val="005E2443"/>
    <w:rsid w:val="005E2823"/>
    <w:rsid w:val="005E373A"/>
    <w:rsid w:val="005E41FD"/>
    <w:rsid w:val="005F07E5"/>
    <w:rsid w:val="005F0D22"/>
    <w:rsid w:val="005F1E32"/>
    <w:rsid w:val="005F5F9F"/>
    <w:rsid w:val="005F6C43"/>
    <w:rsid w:val="005F6CEC"/>
    <w:rsid w:val="00600513"/>
    <w:rsid w:val="00600ACE"/>
    <w:rsid w:val="006033EE"/>
    <w:rsid w:val="006034C2"/>
    <w:rsid w:val="00603C24"/>
    <w:rsid w:val="006044E7"/>
    <w:rsid w:val="00605C37"/>
    <w:rsid w:val="00605C96"/>
    <w:rsid w:val="00606A18"/>
    <w:rsid w:val="00606EE7"/>
    <w:rsid w:val="0060706A"/>
    <w:rsid w:val="006106D2"/>
    <w:rsid w:val="00614C62"/>
    <w:rsid w:val="00614FA9"/>
    <w:rsid w:val="0061662D"/>
    <w:rsid w:val="00617A15"/>
    <w:rsid w:val="00621A14"/>
    <w:rsid w:val="00621ACF"/>
    <w:rsid w:val="00622FD2"/>
    <w:rsid w:val="006237BF"/>
    <w:rsid w:val="00624B62"/>
    <w:rsid w:val="0062573A"/>
    <w:rsid w:val="00626AE5"/>
    <w:rsid w:val="00632101"/>
    <w:rsid w:val="006322AF"/>
    <w:rsid w:val="00632B0E"/>
    <w:rsid w:val="00634322"/>
    <w:rsid w:val="00634AF4"/>
    <w:rsid w:val="00634C85"/>
    <w:rsid w:val="00634D72"/>
    <w:rsid w:val="00634DA3"/>
    <w:rsid w:val="00636D39"/>
    <w:rsid w:val="00637B0E"/>
    <w:rsid w:val="00641D81"/>
    <w:rsid w:val="006431D1"/>
    <w:rsid w:val="00643393"/>
    <w:rsid w:val="00644BBD"/>
    <w:rsid w:val="00645249"/>
    <w:rsid w:val="006454A0"/>
    <w:rsid w:val="006465CF"/>
    <w:rsid w:val="00646960"/>
    <w:rsid w:val="00646B26"/>
    <w:rsid w:val="0065098D"/>
    <w:rsid w:val="006523F1"/>
    <w:rsid w:val="006531DE"/>
    <w:rsid w:val="006532C8"/>
    <w:rsid w:val="0065461B"/>
    <w:rsid w:val="00655620"/>
    <w:rsid w:val="00655ED1"/>
    <w:rsid w:val="0065693B"/>
    <w:rsid w:val="006569C1"/>
    <w:rsid w:val="00657A23"/>
    <w:rsid w:val="00657EC5"/>
    <w:rsid w:val="00660966"/>
    <w:rsid w:val="00660A37"/>
    <w:rsid w:val="006631B1"/>
    <w:rsid w:val="0066337C"/>
    <w:rsid w:val="00663F91"/>
    <w:rsid w:val="006649FB"/>
    <w:rsid w:val="00666F92"/>
    <w:rsid w:val="0066757D"/>
    <w:rsid w:val="00671B1E"/>
    <w:rsid w:val="00671F05"/>
    <w:rsid w:val="0067263E"/>
    <w:rsid w:val="00676B6D"/>
    <w:rsid w:val="00676B80"/>
    <w:rsid w:val="00685653"/>
    <w:rsid w:val="00686A01"/>
    <w:rsid w:val="00687C69"/>
    <w:rsid w:val="00692ABB"/>
    <w:rsid w:val="00692D72"/>
    <w:rsid w:val="00695B86"/>
    <w:rsid w:val="0069685E"/>
    <w:rsid w:val="00697230"/>
    <w:rsid w:val="00697F1E"/>
    <w:rsid w:val="006A023A"/>
    <w:rsid w:val="006A0B96"/>
    <w:rsid w:val="006A165D"/>
    <w:rsid w:val="006A1C40"/>
    <w:rsid w:val="006A1FA1"/>
    <w:rsid w:val="006A39A5"/>
    <w:rsid w:val="006A40A9"/>
    <w:rsid w:val="006A57B8"/>
    <w:rsid w:val="006A5F42"/>
    <w:rsid w:val="006A634C"/>
    <w:rsid w:val="006A6C7A"/>
    <w:rsid w:val="006B05C9"/>
    <w:rsid w:val="006B0739"/>
    <w:rsid w:val="006B158E"/>
    <w:rsid w:val="006B3C4A"/>
    <w:rsid w:val="006B3E78"/>
    <w:rsid w:val="006B53D1"/>
    <w:rsid w:val="006B54BF"/>
    <w:rsid w:val="006C08CB"/>
    <w:rsid w:val="006C0D47"/>
    <w:rsid w:val="006C12E6"/>
    <w:rsid w:val="006C132A"/>
    <w:rsid w:val="006C1DC9"/>
    <w:rsid w:val="006C2127"/>
    <w:rsid w:val="006C2868"/>
    <w:rsid w:val="006C47F1"/>
    <w:rsid w:val="006C620A"/>
    <w:rsid w:val="006C7D92"/>
    <w:rsid w:val="006D0876"/>
    <w:rsid w:val="006D0919"/>
    <w:rsid w:val="006D0A08"/>
    <w:rsid w:val="006D2C82"/>
    <w:rsid w:val="006D422F"/>
    <w:rsid w:val="006D4FEB"/>
    <w:rsid w:val="006D6528"/>
    <w:rsid w:val="006D7388"/>
    <w:rsid w:val="006E1605"/>
    <w:rsid w:val="006E1A5E"/>
    <w:rsid w:val="006E1FF4"/>
    <w:rsid w:val="006E4CF4"/>
    <w:rsid w:val="006E552E"/>
    <w:rsid w:val="006E5704"/>
    <w:rsid w:val="006E6075"/>
    <w:rsid w:val="006E60D5"/>
    <w:rsid w:val="006E66EC"/>
    <w:rsid w:val="006E77C8"/>
    <w:rsid w:val="006F1B4A"/>
    <w:rsid w:val="006F3599"/>
    <w:rsid w:val="006F3DD0"/>
    <w:rsid w:val="006F437B"/>
    <w:rsid w:val="006F586D"/>
    <w:rsid w:val="006F5CE6"/>
    <w:rsid w:val="006F764B"/>
    <w:rsid w:val="006F79AA"/>
    <w:rsid w:val="006F7A6C"/>
    <w:rsid w:val="006F7D7A"/>
    <w:rsid w:val="0070038D"/>
    <w:rsid w:val="007008E1"/>
    <w:rsid w:val="00701C85"/>
    <w:rsid w:val="00702C9F"/>
    <w:rsid w:val="00702FA4"/>
    <w:rsid w:val="00704D05"/>
    <w:rsid w:val="00705F82"/>
    <w:rsid w:val="007060E3"/>
    <w:rsid w:val="007103E7"/>
    <w:rsid w:val="00711457"/>
    <w:rsid w:val="00713C2D"/>
    <w:rsid w:val="00714D7D"/>
    <w:rsid w:val="00716564"/>
    <w:rsid w:val="00716E43"/>
    <w:rsid w:val="00717DE4"/>
    <w:rsid w:val="00720432"/>
    <w:rsid w:val="007207FC"/>
    <w:rsid w:val="0072152D"/>
    <w:rsid w:val="0072203E"/>
    <w:rsid w:val="00722EA1"/>
    <w:rsid w:val="00723025"/>
    <w:rsid w:val="00723FDD"/>
    <w:rsid w:val="00726CB9"/>
    <w:rsid w:val="00727BD5"/>
    <w:rsid w:val="00730B1C"/>
    <w:rsid w:val="00730C90"/>
    <w:rsid w:val="0073102D"/>
    <w:rsid w:val="00731247"/>
    <w:rsid w:val="00733018"/>
    <w:rsid w:val="00733CE6"/>
    <w:rsid w:val="00734BB6"/>
    <w:rsid w:val="00734FDE"/>
    <w:rsid w:val="007360D1"/>
    <w:rsid w:val="00736299"/>
    <w:rsid w:val="007368BB"/>
    <w:rsid w:val="00736DD4"/>
    <w:rsid w:val="0073723C"/>
    <w:rsid w:val="00737945"/>
    <w:rsid w:val="00740258"/>
    <w:rsid w:val="00740772"/>
    <w:rsid w:val="00740C4C"/>
    <w:rsid w:val="00744861"/>
    <w:rsid w:val="00745BDB"/>
    <w:rsid w:val="00746B5F"/>
    <w:rsid w:val="007500DD"/>
    <w:rsid w:val="00750FCE"/>
    <w:rsid w:val="007513A9"/>
    <w:rsid w:val="00751A88"/>
    <w:rsid w:val="00751E47"/>
    <w:rsid w:val="00752101"/>
    <w:rsid w:val="007521E0"/>
    <w:rsid w:val="007521FA"/>
    <w:rsid w:val="00761EB8"/>
    <w:rsid w:val="00763110"/>
    <w:rsid w:val="007633F3"/>
    <w:rsid w:val="00763966"/>
    <w:rsid w:val="00764413"/>
    <w:rsid w:val="007666BC"/>
    <w:rsid w:val="00766EDE"/>
    <w:rsid w:val="007676B0"/>
    <w:rsid w:val="007703FB"/>
    <w:rsid w:val="0077065A"/>
    <w:rsid w:val="00772091"/>
    <w:rsid w:val="00773E0A"/>
    <w:rsid w:val="00776711"/>
    <w:rsid w:val="00776A37"/>
    <w:rsid w:val="00776E97"/>
    <w:rsid w:val="00782BD5"/>
    <w:rsid w:val="00782E82"/>
    <w:rsid w:val="00783F32"/>
    <w:rsid w:val="00784D6B"/>
    <w:rsid w:val="0078562A"/>
    <w:rsid w:val="00790B94"/>
    <w:rsid w:val="0079144D"/>
    <w:rsid w:val="00791E02"/>
    <w:rsid w:val="00791FD5"/>
    <w:rsid w:val="00793B6A"/>
    <w:rsid w:val="00794489"/>
    <w:rsid w:val="00794E06"/>
    <w:rsid w:val="00795E93"/>
    <w:rsid w:val="00796017"/>
    <w:rsid w:val="00797747"/>
    <w:rsid w:val="00797AAB"/>
    <w:rsid w:val="00797D99"/>
    <w:rsid w:val="007A3F05"/>
    <w:rsid w:val="007A3FB6"/>
    <w:rsid w:val="007A6D49"/>
    <w:rsid w:val="007A7887"/>
    <w:rsid w:val="007B2739"/>
    <w:rsid w:val="007B2B79"/>
    <w:rsid w:val="007B3F45"/>
    <w:rsid w:val="007B595E"/>
    <w:rsid w:val="007B64F6"/>
    <w:rsid w:val="007B690E"/>
    <w:rsid w:val="007B7B69"/>
    <w:rsid w:val="007C12F0"/>
    <w:rsid w:val="007C3342"/>
    <w:rsid w:val="007C50A4"/>
    <w:rsid w:val="007C612E"/>
    <w:rsid w:val="007D0301"/>
    <w:rsid w:val="007D0DAA"/>
    <w:rsid w:val="007D0FFE"/>
    <w:rsid w:val="007D23A6"/>
    <w:rsid w:val="007D6E8A"/>
    <w:rsid w:val="007E2CD6"/>
    <w:rsid w:val="007E5405"/>
    <w:rsid w:val="007E5B6B"/>
    <w:rsid w:val="007E620C"/>
    <w:rsid w:val="007F0499"/>
    <w:rsid w:val="007F1377"/>
    <w:rsid w:val="007F1F96"/>
    <w:rsid w:val="007F2D65"/>
    <w:rsid w:val="007F3249"/>
    <w:rsid w:val="007F3F7B"/>
    <w:rsid w:val="007F413B"/>
    <w:rsid w:val="007F5CF6"/>
    <w:rsid w:val="007F68CC"/>
    <w:rsid w:val="007F78EB"/>
    <w:rsid w:val="0080108F"/>
    <w:rsid w:val="00801941"/>
    <w:rsid w:val="00801C7A"/>
    <w:rsid w:val="0081350E"/>
    <w:rsid w:val="008158C4"/>
    <w:rsid w:val="00823285"/>
    <w:rsid w:val="00823EB4"/>
    <w:rsid w:val="00824CB9"/>
    <w:rsid w:val="00825B70"/>
    <w:rsid w:val="00826AE3"/>
    <w:rsid w:val="00830C11"/>
    <w:rsid w:val="00831931"/>
    <w:rsid w:val="008327E4"/>
    <w:rsid w:val="008333F4"/>
    <w:rsid w:val="00835448"/>
    <w:rsid w:val="00837E39"/>
    <w:rsid w:val="00840CD6"/>
    <w:rsid w:val="00841CDC"/>
    <w:rsid w:val="00842E05"/>
    <w:rsid w:val="0084383D"/>
    <w:rsid w:val="008471BC"/>
    <w:rsid w:val="00853E18"/>
    <w:rsid w:val="00857B0C"/>
    <w:rsid w:val="00860B1E"/>
    <w:rsid w:val="00860C6F"/>
    <w:rsid w:val="008610A0"/>
    <w:rsid w:val="00861439"/>
    <w:rsid w:val="00861704"/>
    <w:rsid w:val="00861A67"/>
    <w:rsid w:val="00863AFF"/>
    <w:rsid w:val="00864127"/>
    <w:rsid w:val="00865B4B"/>
    <w:rsid w:val="00865DA2"/>
    <w:rsid w:val="00867067"/>
    <w:rsid w:val="00867B0E"/>
    <w:rsid w:val="00870846"/>
    <w:rsid w:val="00872385"/>
    <w:rsid w:val="00873A77"/>
    <w:rsid w:val="00874323"/>
    <w:rsid w:val="00875019"/>
    <w:rsid w:val="008757DE"/>
    <w:rsid w:val="008765F1"/>
    <w:rsid w:val="00881A42"/>
    <w:rsid w:val="00882C69"/>
    <w:rsid w:val="008855BD"/>
    <w:rsid w:val="00885BF8"/>
    <w:rsid w:val="00887079"/>
    <w:rsid w:val="008871FC"/>
    <w:rsid w:val="00891C93"/>
    <w:rsid w:val="00891D40"/>
    <w:rsid w:val="00892297"/>
    <w:rsid w:val="00894237"/>
    <w:rsid w:val="00894356"/>
    <w:rsid w:val="00895984"/>
    <w:rsid w:val="008971E1"/>
    <w:rsid w:val="008A0468"/>
    <w:rsid w:val="008A07B2"/>
    <w:rsid w:val="008A0A91"/>
    <w:rsid w:val="008A2DFD"/>
    <w:rsid w:val="008A3925"/>
    <w:rsid w:val="008A3D9A"/>
    <w:rsid w:val="008A57B4"/>
    <w:rsid w:val="008A6512"/>
    <w:rsid w:val="008A7981"/>
    <w:rsid w:val="008A7DCB"/>
    <w:rsid w:val="008B0A2F"/>
    <w:rsid w:val="008B2CB9"/>
    <w:rsid w:val="008B3BBB"/>
    <w:rsid w:val="008B5CD5"/>
    <w:rsid w:val="008B5F10"/>
    <w:rsid w:val="008B7214"/>
    <w:rsid w:val="008C07CC"/>
    <w:rsid w:val="008C32A1"/>
    <w:rsid w:val="008C5328"/>
    <w:rsid w:val="008D02E8"/>
    <w:rsid w:val="008D039D"/>
    <w:rsid w:val="008D0766"/>
    <w:rsid w:val="008D0F1B"/>
    <w:rsid w:val="008D10A2"/>
    <w:rsid w:val="008D10EC"/>
    <w:rsid w:val="008D10F7"/>
    <w:rsid w:val="008D3A12"/>
    <w:rsid w:val="008D3EA5"/>
    <w:rsid w:val="008D457A"/>
    <w:rsid w:val="008D6597"/>
    <w:rsid w:val="008E0C39"/>
    <w:rsid w:val="008E2FF8"/>
    <w:rsid w:val="008E3B90"/>
    <w:rsid w:val="008E5836"/>
    <w:rsid w:val="008E5BBA"/>
    <w:rsid w:val="008E6779"/>
    <w:rsid w:val="008E6D2C"/>
    <w:rsid w:val="008E6E06"/>
    <w:rsid w:val="008E76C8"/>
    <w:rsid w:val="008F0021"/>
    <w:rsid w:val="008F09AA"/>
    <w:rsid w:val="008F0D77"/>
    <w:rsid w:val="008F10E0"/>
    <w:rsid w:val="008F1D2A"/>
    <w:rsid w:val="008F232D"/>
    <w:rsid w:val="008F3AE0"/>
    <w:rsid w:val="008F3BD8"/>
    <w:rsid w:val="008F462B"/>
    <w:rsid w:val="008F620B"/>
    <w:rsid w:val="008F6987"/>
    <w:rsid w:val="008F7EAD"/>
    <w:rsid w:val="009003D4"/>
    <w:rsid w:val="00900F4E"/>
    <w:rsid w:val="009010B5"/>
    <w:rsid w:val="00901183"/>
    <w:rsid w:val="0090379A"/>
    <w:rsid w:val="00903D61"/>
    <w:rsid w:val="0090411F"/>
    <w:rsid w:val="00904C6E"/>
    <w:rsid w:val="00906415"/>
    <w:rsid w:val="00907BFB"/>
    <w:rsid w:val="00910770"/>
    <w:rsid w:val="00910A6E"/>
    <w:rsid w:val="00911879"/>
    <w:rsid w:val="00911ECD"/>
    <w:rsid w:val="0091224F"/>
    <w:rsid w:val="009124EA"/>
    <w:rsid w:val="00912A07"/>
    <w:rsid w:val="00914A92"/>
    <w:rsid w:val="00914E48"/>
    <w:rsid w:val="00915109"/>
    <w:rsid w:val="00915BE7"/>
    <w:rsid w:val="00916C76"/>
    <w:rsid w:val="00920514"/>
    <w:rsid w:val="00922956"/>
    <w:rsid w:val="009232DC"/>
    <w:rsid w:val="00924526"/>
    <w:rsid w:val="009245F2"/>
    <w:rsid w:val="0092530B"/>
    <w:rsid w:val="00925B66"/>
    <w:rsid w:val="009276B4"/>
    <w:rsid w:val="00927E06"/>
    <w:rsid w:val="00931934"/>
    <w:rsid w:val="0093229C"/>
    <w:rsid w:val="00932B7C"/>
    <w:rsid w:val="00933311"/>
    <w:rsid w:val="009355BF"/>
    <w:rsid w:val="00935FCA"/>
    <w:rsid w:val="00936C56"/>
    <w:rsid w:val="00937FB6"/>
    <w:rsid w:val="009431BC"/>
    <w:rsid w:val="009438D7"/>
    <w:rsid w:val="0094588D"/>
    <w:rsid w:val="0094608F"/>
    <w:rsid w:val="0094633D"/>
    <w:rsid w:val="009463E5"/>
    <w:rsid w:val="00947FF8"/>
    <w:rsid w:val="00950729"/>
    <w:rsid w:val="0095098D"/>
    <w:rsid w:val="009519F0"/>
    <w:rsid w:val="009537FA"/>
    <w:rsid w:val="00953FBA"/>
    <w:rsid w:val="00955A04"/>
    <w:rsid w:val="00955EB3"/>
    <w:rsid w:val="009560EB"/>
    <w:rsid w:val="009569FF"/>
    <w:rsid w:val="0095755D"/>
    <w:rsid w:val="00957DC8"/>
    <w:rsid w:val="00960857"/>
    <w:rsid w:val="0096481E"/>
    <w:rsid w:val="00966089"/>
    <w:rsid w:val="00966915"/>
    <w:rsid w:val="0097077C"/>
    <w:rsid w:val="00970808"/>
    <w:rsid w:val="0097314D"/>
    <w:rsid w:val="00975AC1"/>
    <w:rsid w:val="0097613B"/>
    <w:rsid w:val="009762BD"/>
    <w:rsid w:val="00976CDC"/>
    <w:rsid w:val="00977D1B"/>
    <w:rsid w:val="009802C6"/>
    <w:rsid w:val="00980615"/>
    <w:rsid w:val="0098124E"/>
    <w:rsid w:val="00981F33"/>
    <w:rsid w:val="00981FF1"/>
    <w:rsid w:val="00982A60"/>
    <w:rsid w:val="00983867"/>
    <w:rsid w:val="009850A4"/>
    <w:rsid w:val="00986487"/>
    <w:rsid w:val="009868D9"/>
    <w:rsid w:val="00990331"/>
    <w:rsid w:val="00990A34"/>
    <w:rsid w:val="00990B8F"/>
    <w:rsid w:val="00992C9B"/>
    <w:rsid w:val="00994949"/>
    <w:rsid w:val="009953C8"/>
    <w:rsid w:val="009A06B5"/>
    <w:rsid w:val="009A1324"/>
    <w:rsid w:val="009A1D3C"/>
    <w:rsid w:val="009A316D"/>
    <w:rsid w:val="009A3EA7"/>
    <w:rsid w:val="009A3EAC"/>
    <w:rsid w:val="009B0103"/>
    <w:rsid w:val="009B024E"/>
    <w:rsid w:val="009B3402"/>
    <w:rsid w:val="009B3CA3"/>
    <w:rsid w:val="009B52FD"/>
    <w:rsid w:val="009B6304"/>
    <w:rsid w:val="009B7BFB"/>
    <w:rsid w:val="009C0C60"/>
    <w:rsid w:val="009C18B5"/>
    <w:rsid w:val="009C1EAA"/>
    <w:rsid w:val="009C2DC6"/>
    <w:rsid w:val="009C37C3"/>
    <w:rsid w:val="009C3808"/>
    <w:rsid w:val="009C3963"/>
    <w:rsid w:val="009C4255"/>
    <w:rsid w:val="009C4E66"/>
    <w:rsid w:val="009C4EF0"/>
    <w:rsid w:val="009C5133"/>
    <w:rsid w:val="009C6056"/>
    <w:rsid w:val="009C64DD"/>
    <w:rsid w:val="009D0287"/>
    <w:rsid w:val="009D02E1"/>
    <w:rsid w:val="009D0CDB"/>
    <w:rsid w:val="009D1455"/>
    <w:rsid w:val="009D28C0"/>
    <w:rsid w:val="009D371C"/>
    <w:rsid w:val="009D5CB2"/>
    <w:rsid w:val="009D7DA9"/>
    <w:rsid w:val="009E37E0"/>
    <w:rsid w:val="009E429F"/>
    <w:rsid w:val="009E435C"/>
    <w:rsid w:val="009E5228"/>
    <w:rsid w:val="009E6502"/>
    <w:rsid w:val="009E7FA2"/>
    <w:rsid w:val="009F0320"/>
    <w:rsid w:val="009F0FB9"/>
    <w:rsid w:val="009F1718"/>
    <w:rsid w:val="009F41E1"/>
    <w:rsid w:val="009F62CB"/>
    <w:rsid w:val="00A01888"/>
    <w:rsid w:val="00A021BD"/>
    <w:rsid w:val="00A02DFD"/>
    <w:rsid w:val="00A03771"/>
    <w:rsid w:val="00A040E0"/>
    <w:rsid w:val="00A05567"/>
    <w:rsid w:val="00A05852"/>
    <w:rsid w:val="00A05A8A"/>
    <w:rsid w:val="00A06AF9"/>
    <w:rsid w:val="00A06F5D"/>
    <w:rsid w:val="00A12320"/>
    <w:rsid w:val="00A13FAE"/>
    <w:rsid w:val="00A203D1"/>
    <w:rsid w:val="00A215FC"/>
    <w:rsid w:val="00A23AE4"/>
    <w:rsid w:val="00A23C33"/>
    <w:rsid w:val="00A24024"/>
    <w:rsid w:val="00A244F8"/>
    <w:rsid w:val="00A2670F"/>
    <w:rsid w:val="00A2729F"/>
    <w:rsid w:val="00A27FA1"/>
    <w:rsid w:val="00A31221"/>
    <w:rsid w:val="00A318EA"/>
    <w:rsid w:val="00A33931"/>
    <w:rsid w:val="00A348C0"/>
    <w:rsid w:val="00A34AD7"/>
    <w:rsid w:val="00A37542"/>
    <w:rsid w:val="00A41524"/>
    <w:rsid w:val="00A41A0C"/>
    <w:rsid w:val="00A42E64"/>
    <w:rsid w:val="00A45159"/>
    <w:rsid w:val="00A46405"/>
    <w:rsid w:val="00A53A66"/>
    <w:rsid w:val="00A53B17"/>
    <w:rsid w:val="00A545AF"/>
    <w:rsid w:val="00A54C1C"/>
    <w:rsid w:val="00A56652"/>
    <w:rsid w:val="00A63067"/>
    <w:rsid w:val="00A6373F"/>
    <w:rsid w:val="00A64939"/>
    <w:rsid w:val="00A649ED"/>
    <w:rsid w:val="00A66DDD"/>
    <w:rsid w:val="00A67090"/>
    <w:rsid w:val="00A7171A"/>
    <w:rsid w:val="00A71A12"/>
    <w:rsid w:val="00A73DAF"/>
    <w:rsid w:val="00A74225"/>
    <w:rsid w:val="00A742AA"/>
    <w:rsid w:val="00A75517"/>
    <w:rsid w:val="00A758BC"/>
    <w:rsid w:val="00A76D39"/>
    <w:rsid w:val="00A77049"/>
    <w:rsid w:val="00A772BF"/>
    <w:rsid w:val="00A77735"/>
    <w:rsid w:val="00A77D68"/>
    <w:rsid w:val="00A81EA8"/>
    <w:rsid w:val="00A82AFD"/>
    <w:rsid w:val="00A83438"/>
    <w:rsid w:val="00A85D1A"/>
    <w:rsid w:val="00A8645C"/>
    <w:rsid w:val="00A9358A"/>
    <w:rsid w:val="00A940E5"/>
    <w:rsid w:val="00A9535D"/>
    <w:rsid w:val="00A95894"/>
    <w:rsid w:val="00AA21D5"/>
    <w:rsid w:val="00AA4EEA"/>
    <w:rsid w:val="00AA6668"/>
    <w:rsid w:val="00AA7979"/>
    <w:rsid w:val="00AA7C5B"/>
    <w:rsid w:val="00AB0A3A"/>
    <w:rsid w:val="00AB0CED"/>
    <w:rsid w:val="00AB0F1D"/>
    <w:rsid w:val="00AB10D2"/>
    <w:rsid w:val="00AB1F5F"/>
    <w:rsid w:val="00AB247F"/>
    <w:rsid w:val="00AB29F1"/>
    <w:rsid w:val="00AB3BEE"/>
    <w:rsid w:val="00AB60E3"/>
    <w:rsid w:val="00AB6136"/>
    <w:rsid w:val="00AB6978"/>
    <w:rsid w:val="00AC0791"/>
    <w:rsid w:val="00AC36B7"/>
    <w:rsid w:val="00AC4289"/>
    <w:rsid w:val="00AC5CAC"/>
    <w:rsid w:val="00AC78A3"/>
    <w:rsid w:val="00AD00E6"/>
    <w:rsid w:val="00AD048E"/>
    <w:rsid w:val="00AD0F5D"/>
    <w:rsid w:val="00AD1BA8"/>
    <w:rsid w:val="00AD1E49"/>
    <w:rsid w:val="00AD21E4"/>
    <w:rsid w:val="00AD322B"/>
    <w:rsid w:val="00AD48B2"/>
    <w:rsid w:val="00AD715D"/>
    <w:rsid w:val="00AD77A2"/>
    <w:rsid w:val="00AE2C0A"/>
    <w:rsid w:val="00AE4232"/>
    <w:rsid w:val="00AE62E4"/>
    <w:rsid w:val="00AE65DC"/>
    <w:rsid w:val="00AE66EA"/>
    <w:rsid w:val="00AF0E7C"/>
    <w:rsid w:val="00AF1442"/>
    <w:rsid w:val="00AF151E"/>
    <w:rsid w:val="00AF1CBD"/>
    <w:rsid w:val="00AF5A7C"/>
    <w:rsid w:val="00AF6A45"/>
    <w:rsid w:val="00AF6D98"/>
    <w:rsid w:val="00AF799F"/>
    <w:rsid w:val="00AF7D69"/>
    <w:rsid w:val="00B006E5"/>
    <w:rsid w:val="00B01BDF"/>
    <w:rsid w:val="00B01C28"/>
    <w:rsid w:val="00B020C9"/>
    <w:rsid w:val="00B02533"/>
    <w:rsid w:val="00B02DC6"/>
    <w:rsid w:val="00B05691"/>
    <w:rsid w:val="00B10E73"/>
    <w:rsid w:val="00B1115C"/>
    <w:rsid w:val="00B12032"/>
    <w:rsid w:val="00B12B62"/>
    <w:rsid w:val="00B14E51"/>
    <w:rsid w:val="00B15F1E"/>
    <w:rsid w:val="00B16132"/>
    <w:rsid w:val="00B165FA"/>
    <w:rsid w:val="00B16A0C"/>
    <w:rsid w:val="00B176FD"/>
    <w:rsid w:val="00B17C24"/>
    <w:rsid w:val="00B20ECA"/>
    <w:rsid w:val="00B21A27"/>
    <w:rsid w:val="00B235F3"/>
    <w:rsid w:val="00B2697D"/>
    <w:rsid w:val="00B27D52"/>
    <w:rsid w:val="00B27E33"/>
    <w:rsid w:val="00B3065D"/>
    <w:rsid w:val="00B34E0A"/>
    <w:rsid w:val="00B35E8D"/>
    <w:rsid w:val="00B37772"/>
    <w:rsid w:val="00B379F0"/>
    <w:rsid w:val="00B41097"/>
    <w:rsid w:val="00B418D5"/>
    <w:rsid w:val="00B43059"/>
    <w:rsid w:val="00B43564"/>
    <w:rsid w:val="00B44037"/>
    <w:rsid w:val="00B5005D"/>
    <w:rsid w:val="00B51F23"/>
    <w:rsid w:val="00B52E0C"/>
    <w:rsid w:val="00B532D0"/>
    <w:rsid w:val="00B57621"/>
    <w:rsid w:val="00B61A34"/>
    <w:rsid w:val="00B61BFF"/>
    <w:rsid w:val="00B62440"/>
    <w:rsid w:val="00B6353D"/>
    <w:rsid w:val="00B63E6F"/>
    <w:rsid w:val="00B643A7"/>
    <w:rsid w:val="00B70A77"/>
    <w:rsid w:val="00B74F5C"/>
    <w:rsid w:val="00B763D0"/>
    <w:rsid w:val="00B7648C"/>
    <w:rsid w:val="00B77788"/>
    <w:rsid w:val="00B851BD"/>
    <w:rsid w:val="00B85A3C"/>
    <w:rsid w:val="00B87044"/>
    <w:rsid w:val="00B87F72"/>
    <w:rsid w:val="00B91835"/>
    <w:rsid w:val="00B94B43"/>
    <w:rsid w:val="00BA0F54"/>
    <w:rsid w:val="00BA1278"/>
    <w:rsid w:val="00BA1360"/>
    <w:rsid w:val="00BA22F5"/>
    <w:rsid w:val="00BA4487"/>
    <w:rsid w:val="00BA4AC6"/>
    <w:rsid w:val="00BA5065"/>
    <w:rsid w:val="00BA6F40"/>
    <w:rsid w:val="00BA78DA"/>
    <w:rsid w:val="00BB0495"/>
    <w:rsid w:val="00BB0953"/>
    <w:rsid w:val="00BB16CE"/>
    <w:rsid w:val="00BB1D45"/>
    <w:rsid w:val="00BB264F"/>
    <w:rsid w:val="00BB3917"/>
    <w:rsid w:val="00BB3921"/>
    <w:rsid w:val="00BB480B"/>
    <w:rsid w:val="00BB5AF8"/>
    <w:rsid w:val="00BB5B40"/>
    <w:rsid w:val="00BB7465"/>
    <w:rsid w:val="00BB789C"/>
    <w:rsid w:val="00BB7CFD"/>
    <w:rsid w:val="00BC1442"/>
    <w:rsid w:val="00BC260B"/>
    <w:rsid w:val="00BC3C71"/>
    <w:rsid w:val="00BC4588"/>
    <w:rsid w:val="00BC5287"/>
    <w:rsid w:val="00BD0DA9"/>
    <w:rsid w:val="00BD11AF"/>
    <w:rsid w:val="00BD19E5"/>
    <w:rsid w:val="00BD1BC8"/>
    <w:rsid w:val="00BD1F75"/>
    <w:rsid w:val="00BD2474"/>
    <w:rsid w:val="00BD2CD0"/>
    <w:rsid w:val="00BD3192"/>
    <w:rsid w:val="00BD46D2"/>
    <w:rsid w:val="00BD4FD9"/>
    <w:rsid w:val="00BD5FD6"/>
    <w:rsid w:val="00BD7986"/>
    <w:rsid w:val="00BE044C"/>
    <w:rsid w:val="00BE342C"/>
    <w:rsid w:val="00BE4305"/>
    <w:rsid w:val="00BE4A5C"/>
    <w:rsid w:val="00BE4EDE"/>
    <w:rsid w:val="00BE734A"/>
    <w:rsid w:val="00BE7C6F"/>
    <w:rsid w:val="00BF226D"/>
    <w:rsid w:val="00BF352E"/>
    <w:rsid w:val="00BF3977"/>
    <w:rsid w:val="00BF4BD5"/>
    <w:rsid w:val="00BF5A3B"/>
    <w:rsid w:val="00BF5B49"/>
    <w:rsid w:val="00BF6F39"/>
    <w:rsid w:val="00C035B8"/>
    <w:rsid w:val="00C04526"/>
    <w:rsid w:val="00C055EF"/>
    <w:rsid w:val="00C05D2C"/>
    <w:rsid w:val="00C063D4"/>
    <w:rsid w:val="00C074F6"/>
    <w:rsid w:val="00C1061E"/>
    <w:rsid w:val="00C117A9"/>
    <w:rsid w:val="00C11DEA"/>
    <w:rsid w:val="00C12C36"/>
    <w:rsid w:val="00C1308C"/>
    <w:rsid w:val="00C14112"/>
    <w:rsid w:val="00C14D5B"/>
    <w:rsid w:val="00C152B2"/>
    <w:rsid w:val="00C16D5F"/>
    <w:rsid w:val="00C171FA"/>
    <w:rsid w:val="00C17C42"/>
    <w:rsid w:val="00C17C64"/>
    <w:rsid w:val="00C222E0"/>
    <w:rsid w:val="00C23E87"/>
    <w:rsid w:val="00C25756"/>
    <w:rsid w:val="00C30600"/>
    <w:rsid w:val="00C3169A"/>
    <w:rsid w:val="00C31871"/>
    <w:rsid w:val="00C31F8D"/>
    <w:rsid w:val="00C32CD6"/>
    <w:rsid w:val="00C330A0"/>
    <w:rsid w:val="00C33A1B"/>
    <w:rsid w:val="00C34794"/>
    <w:rsid w:val="00C35510"/>
    <w:rsid w:val="00C366DC"/>
    <w:rsid w:val="00C3709F"/>
    <w:rsid w:val="00C4023A"/>
    <w:rsid w:val="00C40C87"/>
    <w:rsid w:val="00C41BBA"/>
    <w:rsid w:val="00C424F3"/>
    <w:rsid w:val="00C4386E"/>
    <w:rsid w:val="00C443F0"/>
    <w:rsid w:val="00C44DB1"/>
    <w:rsid w:val="00C457B6"/>
    <w:rsid w:val="00C457CF"/>
    <w:rsid w:val="00C50D42"/>
    <w:rsid w:val="00C526D2"/>
    <w:rsid w:val="00C52899"/>
    <w:rsid w:val="00C541C1"/>
    <w:rsid w:val="00C5552E"/>
    <w:rsid w:val="00C555C6"/>
    <w:rsid w:val="00C55A3F"/>
    <w:rsid w:val="00C55D4A"/>
    <w:rsid w:val="00C61178"/>
    <w:rsid w:val="00C6132A"/>
    <w:rsid w:val="00C61D99"/>
    <w:rsid w:val="00C623E9"/>
    <w:rsid w:val="00C624B6"/>
    <w:rsid w:val="00C62908"/>
    <w:rsid w:val="00C638B6"/>
    <w:rsid w:val="00C6395D"/>
    <w:rsid w:val="00C64044"/>
    <w:rsid w:val="00C6589B"/>
    <w:rsid w:val="00C664B7"/>
    <w:rsid w:val="00C669F0"/>
    <w:rsid w:val="00C6724E"/>
    <w:rsid w:val="00C67934"/>
    <w:rsid w:val="00C70804"/>
    <w:rsid w:val="00C71E8C"/>
    <w:rsid w:val="00C73DD1"/>
    <w:rsid w:val="00C80164"/>
    <w:rsid w:val="00C80205"/>
    <w:rsid w:val="00C81405"/>
    <w:rsid w:val="00C8208B"/>
    <w:rsid w:val="00C838D5"/>
    <w:rsid w:val="00C84D9F"/>
    <w:rsid w:val="00C856DD"/>
    <w:rsid w:val="00C85D13"/>
    <w:rsid w:val="00C8669F"/>
    <w:rsid w:val="00C86B32"/>
    <w:rsid w:val="00C87152"/>
    <w:rsid w:val="00C87772"/>
    <w:rsid w:val="00C87CD2"/>
    <w:rsid w:val="00C93493"/>
    <w:rsid w:val="00C9427A"/>
    <w:rsid w:val="00C954A2"/>
    <w:rsid w:val="00C96695"/>
    <w:rsid w:val="00C975D4"/>
    <w:rsid w:val="00C977EE"/>
    <w:rsid w:val="00C97C56"/>
    <w:rsid w:val="00CA2522"/>
    <w:rsid w:val="00CA2B87"/>
    <w:rsid w:val="00CA39A5"/>
    <w:rsid w:val="00CA3A48"/>
    <w:rsid w:val="00CA4346"/>
    <w:rsid w:val="00CA449B"/>
    <w:rsid w:val="00CB0695"/>
    <w:rsid w:val="00CB0B2E"/>
    <w:rsid w:val="00CB11E4"/>
    <w:rsid w:val="00CB185D"/>
    <w:rsid w:val="00CB1D63"/>
    <w:rsid w:val="00CB1E4D"/>
    <w:rsid w:val="00CB23C3"/>
    <w:rsid w:val="00CB351E"/>
    <w:rsid w:val="00CB39E8"/>
    <w:rsid w:val="00CB3FBB"/>
    <w:rsid w:val="00CB4458"/>
    <w:rsid w:val="00CB4FD7"/>
    <w:rsid w:val="00CC0F52"/>
    <w:rsid w:val="00CC30EE"/>
    <w:rsid w:val="00CC4158"/>
    <w:rsid w:val="00CC4A81"/>
    <w:rsid w:val="00CC53F4"/>
    <w:rsid w:val="00CC6F0E"/>
    <w:rsid w:val="00CD0FEC"/>
    <w:rsid w:val="00CD10F7"/>
    <w:rsid w:val="00CD133F"/>
    <w:rsid w:val="00CD1D38"/>
    <w:rsid w:val="00CD1D39"/>
    <w:rsid w:val="00CD2ED8"/>
    <w:rsid w:val="00CD35FB"/>
    <w:rsid w:val="00CD3A24"/>
    <w:rsid w:val="00CD5E86"/>
    <w:rsid w:val="00CD7211"/>
    <w:rsid w:val="00CE0710"/>
    <w:rsid w:val="00CE11B5"/>
    <w:rsid w:val="00CE137A"/>
    <w:rsid w:val="00CE13D8"/>
    <w:rsid w:val="00CE306C"/>
    <w:rsid w:val="00CE3357"/>
    <w:rsid w:val="00CE3A7D"/>
    <w:rsid w:val="00CE4BA0"/>
    <w:rsid w:val="00CE5B12"/>
    <w:rsid w:val="00CE6D0A"/>
    <w:rsid w:val="00CE7BAB"/>
    <w:rsid w:val="00CF4321"/>
    <w:rsid w:val="00CF4366"/>
    <w:rsid w:val="00CF5120"/>
    <w:rsid w:val="00D014B6"/>
    <w:rsid w:val="00D014E3"/>
    <w:rsid w:val="00D0219A"/>
    <w:rsid w:val="00D03274"/>
    <w:rsid w:val="00D032E2"/>
    <w:rsid w:val="00D062A1"/>
    <w:rsid w:val="00D06971"/>
    <w:rsid w:val="00D10EFF"/>
    <w:rsid w:val="00D1330E"/>
    <w:rsid w:val="00D1343E"/>
    <w:rsid w:val="00D1433F"/>
    <w:rsid w:val="00D158C3"/>
    <w:rsid w:val="00D162FD"/>
    <w:rsid w:val="00D17020"/>
    <w:rsid w:val="00D1767B"/>
    <w:rsid w:val="00D2174D"/>
    <w:rsid w:val="00D21C3F"/>
    <w:rsid w:val="00D223F2"/>
    <w:rsid w:val="00D22AE8"/>
    <w:rsid w:val="00D22EF3"/>
    <w:rsid w:val="00D23306"/>
    <w:rsid w:val="00D25217"/>
    <w:rsid w:val="00D26AF1"/>
    <w:rsid w:val="00D2772D"/>
    <w:rsid w:val="00D27A58"/>
    <w:rsid w:val="00D30242"/>
    <w:rsid w:val="00D33D79"/>
    <w:rsid w:val="00D3571E"/>
    <w:rsid w:val="00D36DDE"/>
    <w:rsid w:val="00D37503"/>
    <w:rsid w:val="00D40592"/>
    <w:rsid w:val="00D4129B"/>
    <w:rsid w:val="00D414B4"/>
    <w:rsid w:val="00D43AAC"/>
    <w:rsid w:val="00D448C6"/>
    <w:rsid w:val="00D44E2F"/>
    <w:rsid w:val="00D46550"/>
    <w:rsid w:val="00D4768B"/>
    <w:rsid w:val="00D47B03"/>
    <w:rsid w:val="00D50C6B"/>
    <w:rsid w:val="00D517E0"/>
    <w:rsid w:val="00D51F2F"/>
    <w:rsid w:val="00D535EC"/>
    <w:rsid w:val="00D54F3F"/>
    <w:rsid w:val="00D55453"/>
    <w:rsid w:val="00D55E5A"/>
    <w:rsid w:val="00D5629C"/>
    <w:rsid w:val="00D5675B"/>
    <w:rsid w:val="00D60DB2"/>
    <w:rsid w:val="00D61C18"/>
    <w:rsid w:val="00D659D0"/>
    <w:rsid w:val="00D66217"/>
    <w:rsid w:val="00D67338"/>
    <w:rsid w:val="00D70472"/>
    <w:rsid w:val="00D75237"/>
    <w:rsid w:val="00D75C89"/>
    <w:rsid w:val="00D75DCC"/>
    <w:rsid w:val="00D77557"/>
    <w:rsid w:val="00D81056"/>
    <w:rsid w:val="00D81ED1"/>
    <w:rsid w:val="00D8297A"/>
    <w:rsid w:val="00D82C1F"/>
    <w:rsid w:val="00D84024"/>
    <w:rsid w:val="00D8482A"/>
    <w:rsid w:val="00D85246"/>
    <w:rsid w:val="00D8537F"/>
    <w:rsid w:val="00D86606"/>
    <w:rsid w:val="00D8698D"/>
    <w:rsid w:val="00D87C2F"/>
    <w:rsid w:val="00D9279A"/>
    <w:rsid w:val="00D94231"/>
    <w:rsid w:val="00D95BE0"/>
    <w:rsid w:val="00D96E05"/>
    <w:rsid w:val="00D96F5C"/>
    <w:rsid w:val="00D97121"/>
    <w:rsid w:val="00DA0071"/>
    <w:rsid w:val="00DA172C"/>
    <w:rsid w:val="00DA2B5D"/>
    <w:rsid w:val="00DA3858"/>
    <w:rsid w:val="00DA3D6C"/>
    <w:rsid w:val="00DA3DAD"/>
    <w:rsid w:val="00DA40D4"/>
    <w:rsid w:val="00DA4D9F"/>
    <w:rsid w:val="00DA4E0A"/>
    <w:rsid w:val="00DA4ED8"/>
    <w:rsid w:val="00DA50A8"/>
    <w:rsid w:val="00DA5777"/>
    <w:rsid w:val="00DA5C13"/>
    <w:rsid w:val="00DA5C5D"/>
    <w:rsid w:val="00DA7470"/>
    <w:rsid w:val="00DB4025"/>
    <w:rsid w:val="00DB4AF1"/>
    <w:rsid w:val="00DB51ED"/>
    <w:rsid w:val="00DB5F97"/>
    <w:rsid w:val="00DB61FD"/>
    <w:rsid w:val="00DB6A78"/>
    <w:rsid w:val="00DB6F12"/>
    <w:rsid w:val="00DC1012"/>
    <w:rsid w:val="00DC15BD"/>
    <w:rsid w:val="00DC251A"/>
    <w:rsid w:val="00DC387D"/>
    <w:rsid w:val="00DC3A63"/>
    <w:rsid w:val="00DC51F9"/>
    <w:rsid w:val="00DC598C"/>
    <w:rsid w:val="00DC675C"/>
    <w:rsid w:val="00DC6A45"/>
    <w:rsid w:val="00DC7CAA"/>
    <w:rsid w:val="00DD0344"/>
    <w:rsid w:val="00DD0D7A"/>
    <w:rsid w:val="00DD29D3"/>
    <w:rsid w:val="00DD2D0B"/>
    <w:rsid w:val="00DD32A5"/>
    <w:rsid w:val="00DD36BF"/>
    <w:rsid w:val="00DD5540"/>
    <w:rsid w:val="00DD6683"/>
    <w:rsid w:val="00DD7164"/>
    <w:rsid w:val="00DE0EB2"/>
    <w:rsid w:val="00DE1175"/>
    <w:rsid w:val="00DE2069"/>
    <w:rsid w:val="00DE35BA"/>
    <w:rsid w:val="00DE3811"/>
    <w:rsid w:val="00DE45C5"/>
    <w:rsid w:val="00DE4D05"/>
    <w:rsid w:val="00DE663A"/>
    <w:rsid w:val="00DE713F"/>
    <w:rsid w:val="00DF0418"/>
    <w:rsid w:val="00DF16B0"/>
    <w:rsid w:val="00DF28F3"/>
    <w:rsid w:val="00DF4186"/>
    <w:rsid w:val="00DF652E"/>
    <w:rsid w:val="00E010CD"/>
    <w:rsid w:val="00E01A52"/>
    <w:rsid w:val="00E02B90"/>
    <w:rsid w:val="00E04DF7"/>
    <w:rsid w:val="00E07041"/>
    <w:rsid w:val="00E10846"/>
    <w:rsid w:val="00E10B75"/>
    <w:rsid w:val="00E12410"/>
    <w:rsid w:val="00E12C15"/>
    <w:rsid w:val="00E1332A"/>
    <w:rsid w:val="00E15CB9"/>
    <w:rsid w:val="00E20717"/>
    <w:rsid w:val="00E20B45"/>
    <w:rsid w:val="00E213C5"/>
    <w:rsid w:val="00E21E7A"/>
    <w:rsid w:val="00E227CA"/>
    <w:rsid w:val="00E23DBB"/>
    <w:rsid w:val="00E24138"/>
    <w:rsid w:val="00E25437"/>
    <w:rsid w:val="00E257A8"/>
    <w:rsid w:val="00E26B09"/>
    <w:rsid w:val="00E26C2C"/>
    <w:rsid w:val="00E26F98"/>
    <w:rsid w:val="00E2719D"/>
    <w:rsid w:val="00E2781F"/>
    <w:rsid w:val="00E3175D"/>
    <w:rsid w:val="00E32C56"/>
    <w:rsid w:val="00E33485"/>
    <w:rsid w:val="00E33C16"/>
    <w:rsid w:val="00E34526"/>
    <w:rsid w:val="00E34841"/>
    <w:rsid w:val="00E34B17"/>
    <w:rsid w:val="00E3682C"/>
    <w:rsid w:val="00E3771B"/>
    <w:rsid w:val="00E37C01"/>
    <w:rsid w:val="00E406DC"/>
    <w:rsid w:val="00E41802"/>
    <w:rsid w:val="00E41A25"/>
    <w:rsid w:val="00E41E89"/>
    <w:rsid w:val="00E422D0"/>
    <w:rsid w:val="00E434A5"/>
    <w:rsid w:val="00E44158"/>
    <w:rsid w:val="00E47309"/>
    <w:rsid w:val="00E4776B"/>
    <w:rsid w:val="00E47E76"/>
    <w:rsid w:val="00E507AE"/>
    <w:rsid w:val="00E51E35"/>
    <w:rsid w:val="00E522A3"/>
    <w:rsid w:val="00E52373"/>
    <w:rsid w:val="00E5326D"/>
    <w:rsid w:val="00E53456"/>
    <w:rsid w:val="00E55CA0"/>
    <w:rsid w:val="00E563A1"/>
    <w:rsid w:val="00E614D7"/>
    <w:rsid w:val="00E6225D"/>
    <w:rsid w:val="00E62A71"/>
    <w:rsid w:val="00E62A8B"/>
    <w:rsid w:val="00E64641"/>
    <w:rsid w:val="00E64A97"/>
    <w:rsid w:val="00E64BDE"/>
    <w:rsid w:val="00E65121"/>
    <w:rsid w:val="00E66B74"/>
    <w:rsid w:val="00E676FB"/>
    <w:rsid w:val="00E744F9"/>
    <w:rsid w:val="00E745FA"/>
    <w:rsid w:val="00E7485C"/>
    <w:rsid w:val="00E76906"/>
    <w:rsid w:val="00E81103"/>
    <w:rsid w:val="00E81E55"/>
    <w:rsid w:val="00E83F42"/>
    <w:rsid w:val="00E84EBE"/>
    <w:rsid w:val="00E858C5"/>
    <w:rsid w:val="00E87694"/>
    <w:rsid w:val="00E905E1"/>
    <w:rsid w:val="00E9072B"/>
    <w:rsid w:val="00E908C0"/>
    <w:rsid w:val="00E936A8"/>
    <w:rsid w:val="00E93860"/>
    <w:rsid w:val="00E9409F"/>
    <w:rsid w:val="00E942C2"/>
    <w:rsid w:val="00E96B7E"/>
    <w:rsid w:val="00E97FB2"/>
    <w:rsid w:val="00EA0E0A"/>
    <w:rsid w:val="00EA164D"/>
    <w:rsid w:val="00EA1688"/>
    <w:rsid w:val="00EA23E7"/>
    <w:rsid w:val="00EA2C93"/>
    <w:rsid w:val="00EA2CFA"/>
    <w:rsid w:val="00EA2DB1"/>
    <w:rsid w:val="00EA2EC8"/>
    <w:rsid w:val="00EA31A2"/>
    <w:rsid w:val="00EA6B7A"/>
    <w:rsid w:val="00EA75E9"/>
    <w:rsid w:val="00EA77A6"/>
    <w:rsid w:val="00EA7974"/>
    <w:rsid w:val="00EA7C5C"/>
    <w:rsid w:val="00EB0810"/>
    <w:rsid w:val="00EB0EA0"/>
    <w:rsid w:val="00EB10E1"/>
    <w:rsid w:val="00EB1881"/>
    <w:rsid w:val="00EB2510"/>
    <w:rsid w:val="00EB4EA2"/>
    <w:rsid w:val="00EB5909"/>
    <w:rsid w:val="00EB5DE6"/>
    <w:rsid w:val="00EC0794"/>
    <w:rsid w:val="00EC2605"/>
    <w:rsid w:val="00EC3248"/>
    <w:rsid w:val="00EC3E55"/>
    <w:rsid w:val="00EC4D0C"/>
    <w:rsid w:val="00EC7421"/>
    <w:rsid w:val="00EC7A4D"/>
    <w:rsid w:val="00ED0803"/>
    <w:rsid w:val="00ED0CA9"/>
    <w:rsid w:val="00ED1AD4"/>
    <w:rsid w:val="00ED1C53"/>
    <w:rsid w:val="00ED22E6"/>
    <w:rsid w:val="00ED2D07"/>
    <w:rsid w:val="00ED4634"/>
    <w:rsid w:val="00ED69B7"/>
    <w:rsid w:val="00ED7414"/>
    <w:rsid w:val="00ED78F5"/>
    <w:rsid w:val="00EE1841"/>
    <w:rsid w:val="00EE1BE7"/>
    <w:rsid w:val="00EE2113"/>
    <w:rsid w:val="00EE3611"/>
    <w:rsid w:val="00EE373B"/>
    <w:rsid w:val="00EE49DB"/>
    <w:rsid w:val="00EE5240"/>
    <w:rsid w:val="00EF0267"/>
    <w:rsid w:val="00EF0FEB"/>
    <w:rsid w:val="00EF1666"/>
    <w:rsid w:val="00EF532D"/>
    <w:rsid w:val="00EF5E2B"/>
    <w:rsid w:val="00EF641F"/>
    <w:rsid w:val="00EF686F"/>
    <w:rsid w:val="00EF6D39"/>
    <w:rsid w:val="00F00723"/>
    <w:rsid w:val="00F00DEC"/>
    <w:rsid w:val="00F02379"/>
    <w:rsid w:val="00F03ED0"/>
    <w:rsid w:val="00F043CC"/>
    <w:rsid w:val="00F04415"/>
    <w:rsid w:val="00F05D9E"/>
    <w:rsid w:val="00F05DC0"/>
    <w:rsid w:val="00F07398"/>
    <w:rsid w:val="00F07C42"/>
    <w:rsid w:val="00F11403"/>
    <w:rsid w:val="00F12877"/>
    <w:rsid w:val="00F12915"/>
    <w:rsid w:val="00F137F7"/>
    <w:rsid w:val="00F149FA"/>
    <w:rsid w:val="00F17887"/>
    <w:rsid w:val="00F212AA"/>
    <w:rsid w:val="00F244C9"/>
    <w:rsid w:val="00F245B5"/>
    <w:rsid w:val="00F25267"/>
    <w:rsid w:val="00F25575"/>
    <w:rsid w:val="00F2585A"/>
    <w:rsid w:val="00F25CB3"/>
    <w:rsid w:val="00F27076"/>
    <w:rsid w:val="00F27B73"/>
    <w:rsid w:val="00F30EEA"/>
    <w:rsid w:val="00F3155D"/>
    <w:rsid w:val="00F34080"/>
    <w:rsid w:val="00F350E8"/>
    <w:rsid w:val="00F364A3"/>
    <w:rsid w:val="00F364C3"/>
    <w:rsid w:val="00F376EF"/>
    <w:rsid w:val="00F41E3B"/>
    <w:rsid w:val="00F42639"/>
    <w:rsid w:val="00F43D93"/>
    <w:rsid w:val="00F44DB5"/>
    <w:rsid w:val="00F46C17"/>
    <w:rsid w:val="00F47929"/>
    <w:rsid w:val="00F50DB5"/>
    <w:rsid w:val="00F516B2"/>
    <w:rsid w:val="00F52651"/>
    <w:rsid w:val="00F52C3F"/>
    <w:rsid w:val="00F54E7E"/>
    <w:rsid w:val="00F55B68"/>
    <w:rsid w:val="00F55FF0"/>
    <w:rsid w:val="00F56593"/>
    <w:rsid w:val="00F56C11"/>
    <w:rsid w:val="00F60076"/>
    <w:rsid w:val="00F6106B"/>
    <w:rsid w:val="00F618B6"/>
    <w:rsid w:val="00F619C2"/>
    <w:rsid w:val="00F63468"/>
    <w:rsid w:val="00F63F4C"/>
    <w:rsid w:val="00F64035"/>
    <w:rsid w:val="00F64C2B"/>
    <w:rsid w:val="00F667AF"/>
    <w:rsid w:val="00F66B93"/>
    <w:rsid w:val="00F67FCF"/>
    <w:rsid w:val="00F713E8"/>
    <w:rsid w:val="00F71612"/>
    <w:rsid w:val="00F7183A"/>
    <w:rsid w:val="00F74FAF"/>
    <w:rsid w:val="00F7504B"/>
    <w:rsid w:val="00F7574B"/>
    <w:rsid w:val="00F77337"/>
    <w:rsid w:val="00F77674"/>
    <w:rsid w:val="00F7770F"/>
    <w:rsid w:val="00F77769"/>
    <w:rsid w:val="00F80D93"/>
    <w:rsid w:val="00F81D67"/>
    <w:rsid w:val="00F820CF"/>
    <w:rsid w:val="00F91C3B"/>
    <w:rsid w:val="00F92E59"/>
    <w:rsid w:val="00F935EA"/>
    <w:rsid w:val="00F94890"/>
    <w:rsid w:val="00F96482"/>
    <w:rsid w:val="00FA1423"/>
    <w:rsid w:val="00FA1D7D"/>
    <w:rsid w:val="00FA354C"/>
    <w:rsid w:val="00FA3A07"/>
    <w:rsid w:val="00FA5408"/>
    <w:rsid w:val="00FA5C75"/>
    <w:rsid w:val="00FA75E8"/>
    <w:rsid w:val="00FA7BB4"/>
    <w:rsid w:val="00FB0518"/>
    <w:rsid w:val="00FB08FD"/>
    <w:rsid w:val="00FB145C"/>
    <w:rsid w:val="00FB25F4"/>
    <w:rsid w:val="00FB2AEB"/>
    <w:rsid w:val="00FB3BF1"/>
    <w:rsid w:val="00FB6B16"/>
    <w:rsid w:val="00FC0FEC"/>
    <w:rsid w:val="00FC25E7"/>
    <w:rsid w:val="00FC5CF9"/>
    <w:rsid w:val="00FC62A0"/>
    <w:rsid w:val="00FC6A24"/>
    <w:rsid w:val="00FC7873"/>
    <w:rsid w:val="00FD058D"/>
    <w:rsid w:val="00FD12D3"/>
    <w:rsid w:val="00FD27DE"/>
    <w:rsid w:val="00FD2B27"/>
    <w:rsid w:val="00FD2CED"/>
    <w:rsid w:val="00FD459D"/>
    <w:rsid w:val="00FD5016"/>
    <w:rsid w:val="00FD5220"/>
    <w:rsid w:val="00FD642C"/>
    <w:rsid w:val="00FD6E08"/>
    <w:rsid w:val="00FE0349"/>
    <w:rsid w:val="00FE0604"/>
    <w:rsid w:val="00FE1112"/>
    <w:rsid w:val="00FE21A2"/>
    <w:rsid w:val="00FE2B3D"/>
    <w:rsid w:val="00FE38A3"/>
    <w:rsid w:val="00FE4384"/>
    <w:rsid w:val="00FE4DFF"/>
    <w:rsid w:val="00FE5FFE"/>
    <w:rsid w:val="00FE6FAE"/>
    <w:rsid w:val="00FF20CF"/>
    <w:rsid w:val="00FF249A"/>
    <w:rsid w:val="00FF3CA3"/>
    <w:rsid w:val="00FF4E23"/>
    <w:rsid w:val="00FF5F82"/>
    <w:rsid w:val="00FF6078"/>
    <w:rsid w:val="00FF665A"/>
    <w:rsid w:val="00FF686A"/>
    <w:rsid w:val="00FF6B68"/>
    <w:rsid w:val="00FF7D08"/>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9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41E"/>
    <w:pPr>
      <w:spacing w:line="455" w:lineRule="exact"/>
    </w:pPr>
    <w:rPr>
      <w:rFonts w:ascii="Courier New" w:hAnsi="Courier New"/>
      <w:sz w:val="18"/>
    </w:rPr>
  </w:style>
  <w:style w:type="paragraph" w:styleId="Heading1">
    <w:name w:val="heading 1"/>
    <w:basedOn w:val="Normal"/>
    <w:next w:val="Normal"/>
    <w:link w:val="Heading1Char"/>
    <w:uiPriority w:val="9"/>
    <w:qFormat/>
    <w:rsid w:val="00B2697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B2697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12241E"/>
    <w:pPr>
      <w:spacing w:line="227" w:lineRule="exact"/>
    </w:pPr>
  </w:style>
  <w:style w:type="paragraph" w:styleId="DocumentMap">
    <w:name w:val="Document Map"/>
    <w:basedOn w:val="Normal"/>
    <w:link w:val="DocumentMapChar"/>
    <w:uiPriority w:val="99"/>
    <w:semiHidden/>
    <w:unhideWhenUsed/>
    <w:rsid w:val="00D77557"/>
    <w:rPr>
      <w:rFonts w:ascii="Tahoma" w:hAnsi="Tahoma" w:cs="Tahoma"/>
      <w:sz w:val="16"/>
      <w:szCs w:val="16"/>
    </w:rPr>
  </w:style>
  <w:style w:type="character" w:customStyle="1" w:styleId="DocumentMapChar">
    <w:name w:val="Document Map Char"/>
    <w:basedOn w:val="DefaultParagraphFont"/>
    <w:link w:val="DocumentMap"/>
    <w:uiPriority w:val="99"/>
    <w:semiHidden/>
    <w:rsid w:val="00D77557"/>
    <w:rPr>
      <w:rFonts w:ascii="Tahoma" w:hAnsi="Tahoma" w:cs="Tahoma"/>
      <w:sz w:val="16"/>
      <w:szCs w:val="16"/>
    </w:rPr>
  </w:style>
  <w:style w:type="paragraph" w:customStyle="1" w:styleId="AttorneyName">
    <w:name w:val="Attorney Name"/>
    <w:basedOn w:val="SingleSpacing"/>
    <w:rsid w:val="0012241E"/>
  </w:style>
  <w:style w:type="paragraph" w:styleId="Header">
    <w:name w:val="header"/>
    <w:basedOn w:val="Normal"/>
    <w:link w:val="HeaderChar"/>
    <w:rsid w:val="0012241E"/>
    <w:pPr>
      <w:tabs>
        <w:tab w:val="center" w:pos="4320"/>
        <w:tab w:val="right" w:pos="8640"/>
      </w:tabs>
    </w:pPr>
  </w:style>
  <w:style w:type="paragraph" w:styleId="Footer">
    <w:name w:val="footer"/>
    <w:basedOn w:val="Normal"/>
    <w:link w:val="FooterChar"/>
    <w:uiPriority w:val="99"/>
    <w:rsid w:val="0012241E"/>
    <w:pPr>
      <w:tabs>
        <w:tab w:val="center" w:pos="4320"/>
        <w:tab w:val="right" w:pos="8640"/>
      </w:tabs>
    </w:pPr>
  </w:style>
  <w:style w:type="paragraph" w:customStyle="1" w:styleId="Signatureblockdate">
    <w:name w:val="Signature block date"/>
    <w:basedOn w:val="Normal"/>
    <w:rsid w:val="003D1D80"/>
    <w:pPr>
      <w:spacing w:line="245" w:lineRule="exact"/>
      <w:ind w:left="4680"/>
    </w:pPr>
    <w:rPr>
      <w:sz w:val="20"/>
    </w:rPr>
  </w:style>
  <w:style w:type="paragraph" w:customStyle="1" w:styleId="Signatureblockline">
    <w:name w:val="Signature block line"/>
    <w:basedOn w:val="Normal"/>
    <w:rsid w:val="003D1D80"/>
    <w:pPr>
      <w:tabs>
        <w:tab w:val="left" w:leader="underscore" w:pos="9360"/>
      </w:tabs>
      <w:spacing w:line="245" w:lineRule="exact"/>
      <w:ind w:left="6000"/>
    </w:pPr>
    <w:rPr>
      <w:sz w:val="20"/>
    </w:rPr>
  </w:style>
  <w:style w:type="paragraph" w:customStyle="1" w:styleId="TOCHeader">
    <w:name w:val="TOC Header"/>
    <w:basedOn w:val="Normal"/>
    <w:rsid w:val="00E563A1"/>
    <w:pPr>
      <w:spacing w:line="240" w:lineRule="auto"/>
      <w:ind w:left="115" w:right="115"/>
      <w:jc w:val="center"/>
    </w:pPr>
    <w:rPr>
      <w:rFonts w:ascii="Times New Roman" w:hAnsi="Times New Roman"/>
      <w:smallCaps/>
      <w:sz w:val="24"/>
    </w:rPr>
  </w:style>
  <w:style w:type="paragraph" w:styleId="BodyText">
    <w:name w:val="Body Text"/>
    <w:basedOn w:val="Normal"/>
    <w:link w:val="BodyTextChar"/>
    <w:rsid w:val="00BB0953"/>
    <w:pPr>
      <w:widowControl w:val="0"/>
      <w:spacing w:line="480" w:lineRule="exact"/>
      <w:ind w:firstLine="1440"/>
      <w:jc w:val="both"/>
    </w:pPr>
    <w:rPr>
      <w:rFonts w:ascii="Times New Roman" w:hAnsi="Times New Roman"/>
      <w:sz w:val="24"/>
    </w:rPr>
  </w:style>
  <w:style w:type="character" w:customStyle="1" w:styleId="BodyTextChar">
    <w:name w:val="Body Text Char"/>
    <w:basedOn w:val="DefaultParagraphFont"/>
    <w:link w:val="BodyText"/>
    <w:rsid w:val="00BB0953"/>
    <w:rPr>
      <w:sz w:val="24"/>
    </w:rPr>
  </w:style>
  <w:style w:type="character" w:customStyle="1" w:styleId="FooterChar">
    <w:name w:val="Footer Char"/>
    <w:basedOn w:val="DefaultParagraphFont"/>
    <w:link w:val="Footer"/>
    <w:uiPriority w:val="99"/>
    <w:rsid w:val="00BD0DA9"/>
    <w:rPr>
      <w:rFonts w:ascii="Courier New" w:hAnsi="Courier New"/>
      <w:sz w:val="18"/>
    </w:rPr>
  </w:style>
  <w:style w:type="paragraph" w:styleId="BalloonText">
    <w:name w:val="Balloon Text"/>
    <w:basedOn w:val="Normal"/>
    <w:link w:val="BalloonTextChar"/>
    <w:uiPriority w:val="99"/>
    <w:semiHidden/>
    <w:unhideWhenUsed/>
    <w:rsid w:val="00AF5A7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A7C"/>
    <w:rPr>
      <w:rFonts w:ascii="Tahoma" w:hAnsi="Tahoma" w:cs="Tahoma"/>
      <w:sz w:val="16"/>
      <w:szCs w:val="16"/>
    </w:rPr>
  </w:style>
  <w:style w:type="paragraph" w:styleId="ListParagraph">
    <w:name w:val="List Paragraph"/>
    <w:basedOn w:val="Normal"/>
    <w:uiPriority w:val="34"/>
    <w:qFormat/>
    <w:rsid w:val="00D1767B"/>
    <w:pPr>
      <w:ind w:left="720"/>
    </w:pPr>
  </w:style>
  <w:style w:type="paragraph" w:customStyle="1" w:styleId="LetterSignature">
    <w:name w:val="Letter Signature"/>
    <w:basedOn w:val="Normal"/>
    <w:rsid w:val="00947FF8"/>
    <w:pPr>
      <w:keepNext/>
      <w:keepLines/>
      <w:spacing w:line="260" w:lineRule="exact"/>
    </w:pPr>
    <w:rPr>
      <w:rFonts w:ascii="Garamond" w:hAnsi="Garamond"/>
      <w:sz w:val="24"/>
    </w:rPr>
  </w:style>
  <w:style w:type="character" w:styleId="CommentReference">
    <w:name w:val="annotation reference"/>
    <w:basedOn w:val="DefaultParagraphFont"/>
    <w:uiPriority w:val="99"/>
    <w:semiHidden/>
    <w:unhideWhenUsed/>
    <w:rsid w:val="00801C7A"/>
    <w:rPr>
      <w:sz w:val="16"/>
      <w:szCs w:val="16"/>
    </w:rPr>
  </w:style>
  <w:style w:type="paragraph" w:styleId="CommentText">
    <w:name w:val="annotation text"/>
    <w:basedOn w:val="Normal"/>
    <w:link w:val="CommentTextChar"/>
    <w:uiPriority w:val="99"/>
    <w:semiHidden/>
    <w:unhideWhenUsed/>
    <w:rsid w:val="00801C7A"/>
    <w:rPr>
      <w:sz w:val="20"/>
    </w:rPr>
  </w:style>
  <w:style w:type="character" w:customStyle="1" w:styleId="CommentTextChar">
    <w:name w:val="Comment Text Char"/>
    <w:basedOn w:val="DefaultParagraphFont"/>
    <w:link w:val="CommentText"/>
    <w:uiPriority w:val="99"/>
    <w:semiHidden/>
    <w:rsid w:val="00801C7A"/>
    <w:rPr>
      <w:rFonts w:ascii="Courier New" w:hAnsi="Courier New"/>
    </w:rPr>
  </w:style>
  <w:style w:type="paragraph" w:styleId="CommentSubject">
    <w:name w:val="annotation subject"/>
    <w:basedOn w:val="CommentText"/>
    <w:next w:val="CommentText"/>
    <w:link w:val="CommentSubjectChar"/>
    <w:uiPriority w:val="99"/>
    <w:semiHidden/>
    <w:unhideWhenUsed/>
    <w:rsid w:val="00801C7A"/>
    <w:rPr>
      <w:b/>
      <w:bCs/>
    </w:rPr>
  </w:style>
  <w:style w:type="character" w:customStyle="1" w:styleId="CommentSubjectChar">
    <w:name w:val="Comment Subject Char"/>
    <w:basedOn w:val="CommentTextChar"/>
    <w:link w:val="CommentSubject"/>
    <w:uiPriority w:val="99"/>
    <w:semiHidden/>
    <w:rsid w:val="00801C7A"/>
    <w:rPr>
      <w:rFonts w:ascii="Courier New" w:hAnsi="Courier New"/>
      <w:b/>
      <w:bCs/>
    </w:rPr>
  </w:style>
  <w:style w:type="character" w:customStyle="1" w:styleId="BodyTextChar1">
    <w:name w:val="Body Text Char1"/>
    <w:aliases w:val="Body Text Char Char"/>
    <w:basedOn w:val="DefaultParagraphFont"/>
    <w:rsid w:val="009B52FD"/>
    <w:rPr>
      <w:sz w:val="24"/>
      <w:lang w:val="en-US" w:eastAsia="en-US" w:bidi="ar-SA"/>
    </w:rPr>
  </w:style>
  <w:style w:type="paragraph" w:customStyle="1" w:styleId="RSBlockText">
    <w:name w:val="RS Block Text"/>
    <w:basedOn w:val="Normal"/>
    <w:rsid w:val="009B52FD"/>
    <w:pPr>
      <w:widowControl w:val="0"/>
      <w:spacing w:after="240" w:line="240" w:lineRule="exact"/>
    </w:pPr>
    <w:rPr>
      <w:rFonts w:ascii="Times New Roman" w:hAnsi="Times New Roman"/>
      <w:sz w:val="24"/>
      <w:szCs w:val="24"/>
    </w:rPr>
  </w:style>
  <w:style w:type="paragraph" w:customStyle="1" w:styleId="RSBodyText">
    <w:name w:val="RS Body Text"/>
    <w:basedOn w:val="Normal"/>
    <w:rsid w:val="009B52FD"/>
    <w:pPr>
      <w:widowControl w:val="0"/>
      <w:spacing w:line="480" w:lineRule="exact"/>
      <w:ind w:firstLine="720"/>
    </w:pPr>
    <w:rPr>
      <w:rFonts w:ascii="Times New Roman" w:hAnsi="Times New Roman"/>
      <w:sz w:val="24"/>
      <w:szCs w:val="24"/>
    </w:rPr>
  </w:style>
  <w:style w:type="paragraph" w:customStyle="1" w:styleId="FirmInformation">
    <w:name w:val="Firm Information"/>
    <w:basedOn w:val="Normal"/>
    <w:link w:val="FirmInformationChar"/>
    <w:rsid w:val="005D707E"/>
    <w:pPr>
      <w:widowControl w:val="0"/>
      <w:spacing w:line="240" w:lineRule="exact"/>
      <w:ind w:right="144"/>
    </w:pPr>
    <w:rPr>
      <w:rFonts w:ascii="Times New Roman" w:hAnsi="Times New Roman"/>
      <w:sz w:val="24"/>
    </w:rPr>
  </w:style>
  <w:style w:type="character" w:customStyle="1" w:styleId="FirmInformationChar">
    <w:name w:val="Firm Information Char"/>
    <w:basedOn w:val="DefaultParagraphFont"/>
    <w:link w:val="FirmInformation"/>
    <w:rsid w:val="005D707E"/>
    <w:rPr>
      <w:sz w:val="24"/>
    </w:rPr>
  </w:style>
  <w:style w:type="paragraph" w:customStyle="1" w:styleId="Pleading1L1">
    <w:name w:val="Pleading1_L1"/>
    <w:basedOn w:val="Normal"/>
    <w:next w:val="BodyText"/>
    <w:rsid w:val="007360D1"/>
    <w:pPr>
      <w:keepNext/>
      <w:keepLines/>
      <w:widowControl w:val="0"/>
      <w:numPr>
        <w:numId w:val="1"/>
      </w:numPr>
      <w:spacing w:before="240" w:line="240" w:lineRule="exact"/>
      <w:jc w:val="both"/>
      <w:outlineLvl w:val="0"/>
    </w:pPr>
    <w:rPr>
      <w:rFonts w:ascii="Times New Roman" w:hAnsi="Times New Roman"/>
      <w:b/>
      <w:caps/>
      <w:sz w:val="24"/>
    </w:rPr>
  </w:style>
  <w:style w:type="paragraph" w:customStyle="1" w:styleId="Pleading1L2">
    <w:name w:val="Pleading1_L2"/>
    <w:basedOn w:val="Pleading1L1"/>
    <w:next w:val="BodyText"/>
    <w:rsid w:val="007360D1"/>
    <w:pPr>
      <w:numPr>
        <w:ilvl w:val="1"/>
      </w:numPr>
      <w:outlineLvl w:val="1"/>
    </w:pPr>
    <w:rPr>
      <w:caps w:val="0"/>
    </w:rPr>
  </w:style>
  <w:style w:type="paragraph" w:customStyle="1" w:styleId="Pleading1L3">
    <w:name w:val="Pleading1_L3"/>
    <w:basedOn w:val="Pleading1L2"/>
    <w:next w:val="BodyText"/>
    <w:rsid w:val="007360D1"/>
    <w:pPr>
      <w:numPr>
        <w:ilvl w:val="2"/>
      </w:numPr>
      <w:outlineLvl w:val="2"/>
    </w:pPr>
  </w:style>
  <w:style w:type="paragraph" w:customStyle="1" w:styleId="Pleading1L4">
    <w:name w:val="Pleading1_L4"/>
    <w:basedOn w:val="Pleading1L3"/>
    <w:next w:val="BodyText"/>
    <w:rsid w:val="007360D1"/>
    <w:pPr>
      <w:numPr>
        <w:ilvl w:val="3"/>
      </w:numPr>
      <w:outlineLvl w:val="3"/>
    </w:pPr>
  </w:style>
  <w:style w:type="paragraph" w:customStyle="1" w:styleId="Pleading1L5">
    <w:name w:val="Pleading1_L5"/>
    <w:basedOn w:val="Pleading1L4"/>
    <w:next w:val="BodyText"/>
    <w:rsid w:val="007360D1"/>
    <w:pPr>
      <w:numPr>
        <w:ilvl w:val="4"/>
      </w:numPr>
      <w:outlineLvl w:val="4"/>
    </w:pPr>
  </w:style>
  <w:style w:type="paragraph" w:customStyle="1" w:styleId="Pleading1L6">
    <w:name w:val="Pleading1_L6"/>
    <w:basedOn w:val="Pleading1L5"/>
    <w:next w:val="BodyText"/>
    <w:rsid w:val="007360D1"/>
    <w:pPr>
      <w:numPr>
        <w:ilvl w:val="5"/>
      </w:numPr>
      <w:outlineLvl w:val="5"/>
    </w:pPr>
    <w:rPr>
      <w:b w:val="0"/>
    </w:rPr>
  </w:style>
  <w:style w:type="paragraph" w:customStyle="1" w:styleId="Pleading1L7">
    <w:name w:val="Pleading1_L7"/>
    <w:basedOn w:val="Pleading1L6"/>
    <w:next w:val="BodyText"/>
    <w:rsid w:val="007360D1"/>
    <w:pPr>
      <w:numPr>
        <w:ilvl w:val="6"/>
      </w:numPr>
      <w:outlineLvl w:val="6"/>
    </w:pPr>
  </w:style>
  <w:style w:type="paragraph" w:customStyle="1" w:styleId="Pleading1L8">
    <w:name w:val="Pleading1_L8"/>
    <w:basedOn w:val="Pleading1L7"/>
    <w:next w:val="BodyText"/>
    <w:rsid w:val="007360D1"/>
    <w:pPr>
      <w:numPr>
        <w:ilvl w:val="7"/>
      </w:numPr>
      <w:outlineLvl w:val="7"/>
    </w:pPr>
  </w:style>
  <w:style w:type="paragraph" w:customStyle="1" w:styleId="Pleading1L9">
    <w:name w:val="Pleading1_L9"/>
    <w:basedOn w:val="Pleading1L8"/>
    <w:next w:val="BodyText"/>
    <w:rsid w:val="007360D1"/>
    <w:pPr>
      <w:numPr>
        <w:ilvl w:val="8"/>
      </w:numPr>
      <w:outlineLvl w:val="8"/>
    </w:pPr>
  </w:style>
  <w:style w:type="paragraph" w:customStyle="1" w:styleId="PleadingBody12ptSingleSpacing">
    <w:name w:val="Pleading Body 12pt (Single Spacing)"/>
    <w:basedOn w:val="Normal"/>
    <w:rsid w:val="00583CB8"/>
    <w:pPr>
      <w:spacing w:line="240" w:lineRule="exact"/>
      <w:ind w:right="144" w:firstLine="720"/>
    </w:pPr>
    <w:rPr>
      <w:rFonts w:ascii="Times New Roman" w:hAnsi="Times New Roman"/>
      <w:sz w:val="24"/>
    </w:rPr>
  </w:style>
  <w:style w:type="character" w:customStyle="1" w:styleId="Heading1Char">
    <w:name w:val="Heading 1 Char"/>
    <w:basedOn w:val="DefaultParagraphFont"/>
    <w:link w:val="Heading1"/>
    <w:uiPriority w:val="9"/>
    <w:rsid w:val="00B2697D"/>
    <w:rPr>
      <w:rFonts w:ascii="Cambria" w:hAnsi="Cambria"/>
      <w:b/>
      <w:bCs/>
      <w:kern w:val="32"/>
      <w:sz w:val="32"/>
      <w:szCs w:val="32"/>
    </w:rPr>
  </w:style>
  <w:style w:type="character" w:customStyle="1" w:styleId="Heading2Char">
    <w:name w:val="Heading 2 Char"/>
    <w:basedOn w:val="DefaultParagraphFont"/>
    <w:link w:val="Heading2"/>
    <w:uiPriority w:val="9"/>
    <w:semiHidden/>
    <w:rsid w:val="00B2697D"/>
    <w:rPr>
      <w:rFonts w:ascii="Cambria" w:hAnsi="Cambria"/>
      <w:b/>
      <w:bCs/>
      <w:i/>
      <w:iCs/>
      <w:sz w:val="28"/>
      <w:szCs w:val="28"/>
    </w:rPr>
  </w:style>
  <w:style w:type="paragraph" w:styleId="Revision">
    <w:name w:val="Revision"/>
    <w:hidden/>
    <w:uiPriority w:val="99"/>
    <w:semiHidden/>
    <w:rsid w:val="00B2697D"/>
    <w:rPr>
      <w:rFonts w:ascii="Courier New" w:hAnsi="Courier New"/>
      <w:sz w:val="18"/>
    </w:rPr>
  </w:style>
  <w:style w:type="character" w:styleId="Hyperlink">
    <w:name w:val="Hyperlink"/>
    <w:uiPriority w:val="99"/>
    <w:unhideWhenUsed/>
    <w:rsid w:val="00B2697D"/>
    <w:rPr>
      <w:color w:val="0000FF"/>
      <w:u w:val="single"/>
    </w:rPr>
  </w:style>
  <w:style w:type="character" w:styleId="Emphasis">
    <w:name w:val="Emphasis"/>
    <w:uiPriority w:val="20"/>
    <w:qFormat/>
    <w:rsid w:val="00B2697D"/>
    <w:rPr>
      <w:i/>
      <w:iCs/>
    </w:rPr>
  </w:style>
  <w:style w:type="paragraph" w:styleId="FootnoteText">
    <w:name w:val="footnote text"/>
    <w:basedOn w:val="Normal"/>
    <w:link w:val="FootnoteTextChar"/>
    <w:uiPriority w:val="99"/>
    <w:semiHidden/>
    <w:unhideWhenUsed/>
    <w:rsid w:val="00B2697D"/>
    <w:rPr>
      <w:sz w:val="20"/>
    </w:rPr>
  </w:style>
  <w:style w:type="character" w:customStyle="1" w:styleId="FootnoteTextChar">
    <w:name w:val="Footnote Text Char"/>
    <w:basedOn w:val="DefaultParagraphFont"/>
    <w:link w:val="FootnoteText"/>
    <w:uiPriority w:val="99"/>
    <w:semiHidden/>
    <w:rsid w:val="00B2697D"/>
    <w:rPr>
      <w:rFonts w:ascii="Courier New" w:hAnsi="Courier New"/>
    </w:rPr>
  </w:style>
  <w:style w:type="character" w:styleId="FootnoteReference">
    <w:name w:val="footnote reference"/>
    <w:semiHidden/>
    <w:unhideWhenUsed/>
    <w:rsid w:val="00B2697D"/>
    <w:rPr>
      <w:vertAlign w:val="superscript"/>
    </w:rPr>
  </w:style>
  <w:style w:type="paragraph" w:styleId="TOCHeading">
    <w:name w:val="TOC Heading"/>
    <w:basedOn w:val="Heading1"/>
    <w:next w:val="Normal"/>
    <w:uiPriority w:val="39"/>
    <w:semiHidden/>
    <w:unhideWhenUsed/>
    <w:qFormat/>
    <w:rsid w:val="00B2697D"/>
    <w:pPr>
      <w:keepLines/>
      <w:spacing w:before="480" w:after="0" w:line="276" w:lineRule="auto"/>
      <w:outlineLvl w:val="9"/>
    </w:pPr>
    <w:rPr>
      <w:color w:val="365F91"/>
      <w:kern w:val="0"/>
      <w:sz w:val="28"/>
      <w:szCs w:val="28"/>
    </w:rPr>
  </w:style>
  <w:style w:type="paragraph" w:styleId="TOC1">
    <w:name w:val="toc 1"/>
    <w:basedOn w:val="Normal"/>
    <w:next w:val="Normal"/>
    <w:autoRedefine/>
    <w:uiPriority w:val="39"/>
    <w:unhideWhenUsed/>
    <w:rsid w:val="00516F27"/>
    <w:pPr>
      <w:tabs>
        <w:tab w:val="left" w:pos="720"/>
        <w:tab w:val="right" w:leader="dot" w:pos="9260"/>
      </w:tabs>
    </w:pPr>
    <w:rPr>
      <w:rFonts w:ascii="Times New Roman" w:hAnsi="Times New Roman"/>
      <w:sz w:val="24"/>
    </w:rPr>
  </w:style>
  <w:style w:type="paragraph" w:styleId="TOC2">
    <w:name w:val="toc 2"/>
    <w:basedOn w:val="Normal"/>
    <w:next w:val="Normal"/>
    <w:autoRedefine/>
    <w:uiPriority w:val="39"/>
    <w:unhideWhenUsed/>
    <w:rsid w:val="00B2697D"/>
    <w:pPr>
      <w:ind w:left="180"/>
    </w:pPr>
    <w:rPr>
      <w:rFonts w:ascii="Times New Roman" w:hAnsi="Times New Roman"/>
      <w:sz w:val="24"/>
    </w:rPr>
  </w:style>
  <w:style w:type="paragraph" w:styleId="TOC3">
    <w:name w:val="toc 3"/>
    <w:basedOn w:val="Normal"/>
    <w:next w:val="Normal"/>
    <w:autoRedefine/>
    <w:uiPriority w:val="39"/>
    <w:semiHidden/>
    <w:unhideWhenUsed/>
    <w:rsid w:val="00B2697D"/>
    <w:pPr>
      <w:ind w:left="360"/>
    </w:pPr>
    <w:rPr>
      <w:rFonts w:ascii="Times New Roman" w:hAnsi="Times New Roman"/>
      <w:sz w:val="24"/>
    </w:rPr>
  </w:style>
  <w:style w:type="paragraph" w:styleId="TOC4">
    <w:name w:val="toc 4"/>
    <w:basedOn w:val="Normal"/>
    <w:next w:val="Normal"/>
    <w:autoRedefine/>
    <w:uiPriority w:val="39"/>
    <w:semiHidden/>
    <w:unhideWhenUsed/>
    <w:rsid w:val="00B2697D"/>
    <w:pPr>
      <w:ind w:left="540"/>
    </w:pPr>
    <w:rPr>
      <w:rFonts w:ascii="Times New Roman" w:hAnsi="Times New Roman"/>
      <w:sz w:val="24"/>
    </w:rPr>
  </w:style>
  <w:style w:type="paragraph" w:styleId="TOAHeading">
    <w:name w:val="toa heading"/>
    <w:basedOn w:val="Normal"/>
    <w:next w:val="Normal"/>
    <w:uiPriority w:val="99"/>
    <w:unhideWhenUsed/>
    <w:rsid w:val="00B2697D"/>
    <w:pPr>
      <w:spacing w:before="120"/>
    </w:pPr>
    <w:rPr>
      <w:rFonts w:ascii="Times New Roman" w:hAnsi="Times New Roman"/>
      <w:b/>
      <w:bCs/>
      <w:sz w:val="24"/>
      <w:szCs w:val="24"/>
    </w:rPr>
  </w:style>
  <w:style w:type="paragraph" w:styleId="TableofAuthorities">
    <w:name w:val="table of authorities"/>
    <w:basedOn w:val="Normal"/>
    <w:next w:val="Normal"/>
    <w:uiPriority w:val="99"/>
    <w:semiHidden/>
    <w:unhideWhenUsed/>
    <w:rsid w:val="00B2697D"/>
    <w:pPr>
      <w:ind w:left="180" w:hanging="180"/>
    </w:pPr>
    <w:rPr>
      <w:rFonts w:ascii="Times New Roman" w:hAnsi="Times New Roman"/>
      <w:sz w:val="24"/>
    </w:rPr>
  </w:style>
  <w:style w:type="character" w:customStyle="1" w:styleId="costarpage">
    <w:name w:val="co_starpage"/>
    <w:basedOn w:val="DefaultParagraphFont"/>
    <w:rsid w:val="004A3CA2"/>
  </w:style>
  <w:style w:type="character" w:customStyle="1" w:styleId="apple-converted-space">
    <w:name w:val="apple-converted-space"/>
    <w:basedOn w:val="DefaultParagraphFont"/>
    <w:rsid w:val="002B32FD"/>
  </w:style>
  <w:style w:type="character" w:customStyle="1" w:styleId="cosearchterm">
    <w:name w:val="co_searchterm"/>
    <w:basedOn w:val="DefaultParagraphFont"/>
    <w:rsid w:val="002B32FD"/>
  </w:style>
  <w:style w:type="paragraph" w:styleId="EndnoteText">
    <w:name w:val="endnote text"/>
    <w:basedOn w:val="Normal"/>
    <w:link w:val="EndnoteTextChar"/>
    <w:uiPriority w:val="99"/>
    <w:semiHidden/>
    <w:unhideWhenUsed/>
    <w:rsid w:val="00BF5B49"/>
    <w:pPr>
      <w:spacing w:line="240" w:lineRule="auto"/>
    </w:pPr>
    <w:rPr>
      <w:sz w:val="20"/>
    </w:rPr>
  </w:style>
  <w:style w:type="character" w:customStyle="1" w:styleId="EndnoteTextChar">
    <w:name w:val="Endnote Text Char"/>
    <w:basedOn w:val="DefaultParagraphFont"/>
    <w:link w:val="EndnoteText"/>
    <w:uiPriority w:val="99"/>
    <w:semiHidden/>
    <w:rsid w:val="00BF5B49"/>
    <w:rPr>
      <w:rFonts w:ascii="Courier New" w:hAnsi="Courier New"/>
    </w:rPr>
  </w:style>
  <w:style w:type="character" w:styleId="EndnoteReference">
    <w:name w:val="endnote reference"/>
    <w:basedOn w:val="DefaultParagraphFont"/>
    <w:uiPriority w:val="99"/>
    <w:semiHidden/>
    <w:unhideWhenUsed/>
    <w:rsid w:val="00BF5B49"/>
    <w:rPr>
      <w:vertAlign w:val="superscript"/>
    </w:rPr>
  </w:style>
  <w:style w:type="character" w:customStyle="1" w:styleId="BodyChar">
    <w:name w:val="Body Char"/>
    <w:basedOn w:val="DefaultParagraphFont"/>
    <w:link w:val="Body"/>
    <w:locked/>
    <w:rsid w:val="00D44E2F"/>
  </w:style>
  <w:style w:type="paragraph" w:customStyle="1" w:styleId="Body">
    <w:name w:val="Body"/>
    <w:basedOn w:val="Normal"/>
    <w:link w:val="BodyChar"/>
    <w:qFormat/>
    <w:rsid w:val="00D44E2F"/>
    <w:pPr>
      <w:spacing w:line="480" w:lineRule="exact"/>
      <w:ind w:firstLine="720"/>
      <w:contextualSpacing/>
    </w:pPr>
    <w:rPr>
      <w:rFonts w:ascii="Times New Roman" w:hAnsi="Times New Roman"/>
      <w:sz w:val="20"/>
    </w:rPr>
  </w:style>
  <w:style w:type="character" w:styleId="PlaceholderText">
    <w:name w:val="Placeholder Text"/>
    <w:basedOn w:val="DefaultParagraphFont"/>
    <w:uiPriority w:val="99"/>
    <w:semiHidden/>
    <w:rsid w:val="00BD19E5"/>
    <w:rPr>
      <w:color w:val="808080"/>
    </w:rPr>
  </w:style>
  <w:style w:type="paragraph" w:styleId="Caption">
    <w:name w:val="caption"/>
    <w:basedOn w:val="Normal"/>
    <w:next w:val="Normal"/>
    <w:qFormat/>
    <w:rsid w:val="00FA3A07"/>
    <w:pPr>
      <w:widowControl w:val="0"/>
      <w:spacing w:line="240" w:lineRule="exact"/>
    </w:pPr>
    <w:rPr>
      <w:rFonts w:ascii="Times New Roman" w:hAnsi="Times New Roman"/>
      <w:bCs/>
      <w:sz w:val="24"/>
    </w:rPr>
  </w:style>
  <w:style w:type="character" w:customStyle="1" w:styleId="HeaderChar">
    <w:name w:val="Header Char"/>
    <w:link w:val="Header"/>
    <w:rsid w:val="00EE49DB"/>
    <w:rPr>
      <w:rFonts w:ascii="Courier New" w:hAnsi="Courier New"/>
      <w:sz w:val="18"/>
    </w:rPr>
  </w:style>
  <w:style w:type="table" w:styleId="TableGrid">
    <w:name w:val="Table Grid"/>
    <w:basedOn w:val="TableNormal"/>
    <w:rsid w:val="00EE49DB"/>
    <w:pPr>
      <w:tabs>
        <w:tab w:val="left" w:pos="1440"/>
        <w:tab w:val="left" w:pos="5040"/>
      </w:tabs>
      <w:spacing w:line="240" w:lineRule="exact"/>
      <w:ind w:right="144"/>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90837824">
      <w:bodyDiv w:val="1"/>
      <w:marLeft w:val="0"/>
      <w:marRight w:val="0"/>
      <w:marTop w:val="0"/>
      <w:marBottom w:val="0"/>
      <w:divBdr>
        <w:top w:val="none" w:sz="0" w:space="0" w:color="auto"/>
        <w:left w:val="none" w:sz="0" w:space="0" w:color="auto"/>
        <w:bottom w:val="none" w:sz="0" w:space="0" w:color="auto"/>
        <w:right w:val="none" w:sz="0" w:space="0" w:color="auto"/>
      </w:divBdr>
    </w:div>
    <w:div w:id="707339176">
      <w:bodyDiv w:val="1"/>
      <w:marLeft w:val="0"/>
      <w:marRight w:val="0"/>
      <w:marTop w:val="0"/>
      <w:marBottom w:val="0"/>
      <w:divBdr>
        <w:top w:val="none" w:sz="0" w:space="0" w:color="auto"/>
        <w:left w:val="none" w:sz="0" w:space="0" w:color="auto"/>
        <w:bottom w:val="none" w:sz="0" w:space="0" w:color="auto"/>
        <w:right w:val="none" w:sz="0" w:space="0" w:color="auto"/>
      </w:divBdr>
    </w:div>
    <w:div w:id="1003581653">
      <w:bodyDiv w:val="1"/>
      <w:marLeft w:val="0"/>
      <w:marRight w:val="0"/>
      <w:marTop w:val="0"/>
      <w:marBottom w:val="0"/>
      <w:divBdr>
        <w:top w:val="none" w:sz="0" w:space="0" w:color="auto"/>
        <w:left w:val="none" w:sz="0" w:space="0" w:color="auto"/>
        <w:bottom w:val="none" w:sz="0" w:space="0" w:color="auto"/>
        <w:right w:val="none" w:sz="0" w:space="0" w:color="auto"/>
      </w:divBdr>
      <w:divsChild>
        <w:div w:id="134180650">
          <w:marLeft w:val="0"/>
          <w:marRight w:val="0"/>
          <w:marTop w:val="0"/>
          <w:marBottom w:val="0"/>
          <w:divBdr>
            <w:top w:val="none" w:sz="0" w:space="0" w:color="auto"/>
            <w:left w:val="none" w:sz="0" w:space="0" w:color="auto"/>
            <w:bottom w:val="none" w:sz="0" w:space="0" w:color="auto"/>
            <w:right w:val="none" w:sz="0" w:space="0" w:color="auto"/>
          </w:divBdr>
        </w:div>
        <w:div w:id="162203790">
          <w:marLeft w:val="0"/>
          <w:marRight w:val="0"/>
          <w:marTop w:val="240"/>
          <w:marBottom w:val="0"/>
          <w:divBdr>
            <w:top w:val="none" w:sz="0" w:space="0" w:color="auto"/>
            <w:left w:val="none" w:sz="0" w:space="0" w:color="auto"/>
            <w:bottom w:val="none" w:sz="0" w:space="0" w:color="auto"/>
            <w:right w:val="none" w:sz="0" w:space="0" w:color="auto"/>
          </w:divBdr>
          <w:divsChild>
            <w:div w:id="14532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2130">
      <w:bodyDiv w:val="1"/>
      <w:marLeft w:val="0"/>
      <w:marRight w:val="0"/>
      <w:marTop w:val="0"/>
      <w:marBottom w:val="0"/>
      <w:divBdr>
        <w:top w:val="none" w:sz="0" w:space="0" w:color="auto"/>
        <w:left w:val="none" w:sz="0" w:space="0" w:color="auto"/>
        <w:bottom w:val="none" w:sz="0" w:space="0" w:color="auto"/>
        <w:right w:val="none" w:sz="0" w:space="0" w:color="auto"/>
      </w:divBdr>
    </w:div>
    <w:div w:id="1758285076">
      <w:bodyDiv w:val="1"/>
      <w:marLeft w:val="0"/>
      <w:marRight w:val="0"/>
      <w:marTop w:val="0"/>
      <w:marBottom w:val="0"/>
      <w:divBdr>
        <w:top w:val="none" w:sz="0" w:space="0" w:color="auto"/>
        <w:left w:val="none" w:sz="0" w:space="0" w:color="auto"/>
        <w:bottom w:val="none" w:sz="0" w:space="0" w:color="auto"/>
        <w:right w:val="none" w:sz="0" w:space="0" w:color="auto"/>
      </w:divBdr>
      <w:divsChild>
        <w:div w:id="974797607">
          <w:marLeft w:val="0"/>
          <w:marRight w:val="0"/>
          <w:marTop w:val="0"/>
          <w:marBottom w:val="0"/>
          <w:divBdr>
            <w:top w:val="none" w:sz="0" w:space="0" w:color="auto"/>
            <w:left w:val="none" w:sz="0" w:space="0" w:color="auto"/>
            <w:bottom w:val="none" w:sz="0" w:space="0" w:color="auto"/>
            <w:right w:val="none" w:sz="0" w:space="0" w:color="auto"/>
          </w:divBdr>
        </w:div>
        <w:div w:id="1136946510">
          <w:marLeft w:val="0"/>
          <w:marRight w:val="0"/>
          <w:marTop w:val="240"/>
          <w:marBottom w:val="0"/>
          <w:divBdr>
            <w:top w:val="none" w:sz="0" w:space="0" w:color="auto"/>
            <w:left w:val="none" w:sz="0" w:space="0" w:color="auto"/>
            <w:bottom w:val="none" w:sz="0" w:space="0" w:color="auto"/>
            <w:right w:val="none" w:sz="0" w:space="0" w:color="auto"/>
          </w:divBdr>
          <w:divsChild>
            <w:div w:id="13486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glynn@mahoney-law.net" TargetMode="Externa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62843"/>
    <w:rsid w:val="00B628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2843"/>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5A01CE-45AB-441F-A50D-51A33453C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156</TotalTime>
  <Pages>21</Pages>
  <Words>6074</Words>
  <Characters>33150</Characters>
  <Application>Microsoft Office Word</Application>
  <DocSecurity>0</DocSecurity>
  <Lines>276</Lines>
  <Paragraphs>78</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39146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kamron</dc:creator>
  <cp:lastModifiedBy>Katie Odenbreit</cp:lastModifiedBy>
  <cp:revision>10</cp:revision>
  <cp:lastPrinted>2016-06-08T18:29:00Z</cp:lastPrinted>
  <dcterms:created xsi:type="dcterms:W3CDTF">2016-07-25T15:18:00Z</dcterms:created>
  <dcterms:modified xsi:type="dcterms:W3CDTF">2016-07-25T21:14:00Z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