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434FB" w:rsidRPr="00155E05" w:rsidRDefault="009468B2" w:rsidP="00CF7C99">
      <w:pPr>
        <w:spacing w:line="240" w:lineRule="auto"/>
        <w:jc w:val="center"/>
        <w:rPr>
          <w:rFonts w:ascii="Times New Roman" w:hAnsi="Times New Roman" w:cs="Times New Roman"/>
          <w:sz w:val="24"/>
          <w:szCs w:val="24"/>
        </w:rPr>
      </w:pPr>
      <w:r>
        <w:rPr>
          <w:rFonts w:ascii="Times New Roman" w:hAnsi="Times New Roman" w:cs="Times New Roman"/>
          <w:sz w:val="24"/>
          <w:szCs w:val="24"/>
        </w:rPr>
        <w:t>July 18, 2016</w:t>
      </w:r>
    </w:p>
    <w:p w:rsidR="009468B2" w:rsidRDefault="009468B2" w:rsidP="009468B2">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VIA U.S. MAIL and EMAIL</w:t>
      </w:r>
    </w:p>
    <w:p w:rsidR="009468B2" w:rsidRDefault="009468B2" w:rsidP="009468B2">
      <w:pPr>
        <w:spacing w:after="0" w:line="240" w:lineRule="auto"/>
        <w:rPr>
          <w:rFonts w:ascii="Times New Roman" w:hAnsi="Times New Roman" w:cs="Times New Roman"/>
          <w:b/>
          <w:bCs/>
          <w:sz w:val="24"/>
          <w:szCs w:val="24"/>
        </w:rPr>
      </w:pPr>
      <w:r>
        <w:rPr>
          <w:rFonts w:ascii="Times New Roman" w:hAnsi="Times New Roman" w:cs="Times New Roman"/>
          <w:sz w:val="24"/>
          <w:szCs w:val="24"/>
        </w:rPr>
        <w:t>John W. Harris, Esq.</w:t>
      </w:r>
    </w:p>
    <w:p w:rsidR="009468B2" w:rsidRPr="00876EBC" w:rsidRDefault="009468B2" w:rsidP="009468B2">
      <w:pPr>
        <w:spacing w:after="0" w:line="240" w:lineRule="auto"/>
        <w:rPr>
          <w:rFonts w:ascii="Times New Roman" w:hAnsi="Times New Roman" w:cs="Times New Roman"/>
          <w:b/>
          <w:bCs/>
          <w:sz w:val="24"/>
          <w:szCs w:val="24"/>
        </w:rPr>
      </w:pPr>
      <w:r>
        <w:rPr>
          <w:rFonts w:ascii="Times New Roman" w:hAnsi="Times New Roman" w:cs="Times New Roman"/>
          <w:sz w:val="24"/>
          <w:szCs w:val="24"/>
        </w:rPr>
        <w:t xml:space="preserve">Rodney Tolentino, Esq. </w:t>
      </w:r>
    </w:p>
    <w:p w:rsidR="009468B2" w:rsidRDefault="009468B2" w:rsidP="009468B2">
      <w:pPr>
        <w:spacing w:after="0" w:line="240" w:lineRule="auto"/>
        <w:rPr>
          <w:rFonts w:ascii="Times New Roman" w:hAnsi="Times New Roman" w:cs="Times New Roman"/>
          <w:sz w:val="24"/>
          <w:szCs w:val="24"/>
        </w:rPr>
      </w:pPr>
      <w:r>
        <w:rPr>
          <w:rFonts w:ascii="Times New Roman" w:hAnsi="Times New Roman" w:cs="Times New Roman"/>
          <w:sz w:val="24"/>
          <w:szCs w:val="24"/>
        </w:rPr>
        <w:t>Harris &amp; Associates</w:t>
      </w:r>
    </w:p>
    <w:p w:rsidR="009468B2" w:rsidRDefault="009468B2" w:rsidP="009468B2">
      <w:pPr>
        <w:spacing w:after="0" w:line="240" w:lineRule="auto"/>
        <w:rPr>
          <w:rFonts w:ascii="Times New Roman" w:hAnsi="Times New Roman" w:cs="Times New Roman"/>
          <w:sz w:val="24"/>
          <w:szCs w:val="24"/>
        </w:rPr>
      </w:pPr>
      <w:r>
        <w:rPr>
          <w:rFonts w:ascii="Times New Roman" w:hAnsi="Times New Roman" w:cs="Times New Roman"/>
          <w:sz w:val="24"/>
          <w:szCs w:val="24"/>
        </w:rPr>
        <w:t>865 S. Figueroa St., Ste. 2750</w:t>
      </w:r>
    </w:p>
    <w:p w:rsidR="009468B2" w:rsidRDefault="009468B2" w:rsidP="009468B2">
      <w:pPr>
        <w:spacing w:after="0" w:line="240" w:lineRule="auto"/>
        <w:rPr>
          <w:rFonts w:ascii="Times New Roman" w:hAnsi="Times New Roman" w:cs="Times New Roman"/>
          <w:sz w:val="24"/>
          <w:szCs w:val="24"/>
        </w:rPr>
      </w:pPr>
      <w:r>
        <w:rPr>
          <w:rFonts w:ascii="Times New Roman" w:hAnsi="Times New Roman" w:cs="Times New Roman"/>
          <w:sz w:val="24"/>
          <w:szCs w:val="24"/>
        </w:rPr>
        <w:t>Los Angeles, CA 90017</w:t>
      </w:r>
    </w:p>
    <w:p w:rsidR="009468B2" w:rsidRDefault="00FE01DB" w:rsidP="009468B2">
      <w:pPr>
        <w:spacing w:after="0" w:line="240" w:lineRule="auto"/>
        <w:rPr>
          <w:rFonts w:ascii="Times New Roman" w:hAnsi="Times New Roman" w:cs="Times New Roman"/>
          <w:sz w:val="24"/>
          <w:szCs w:val="24"/>
        </w:rPr>
      </w:pPr>
      <w:hyperlink r:id="rId8" w:history="1">
        <w:r w:rsidR="009468B2" w:rsidRPr="00296837">
          <w:rPr>
            <w:rStyle w:val="Hyperlink"/>
            <w:rFonts w:ascii="Times New Roman" w:hAnsi="Times New Roman" w:cs="Times New Roman"/>
            <w:sz w:val="24"/>
            <w:szCs w:val="24"/>
          </w:rPr>
          <w:t>john@jwharrislaw.com</w:t>
        </w:r>
      </w:hyperlink>
    </w:p>
    <w:p w:rsidR="009468B2" w:rsidRPr="00164853" w:rsidRDefault="00FE01DB" w:rsidP="009468B2">
      <w:pPr>
        <w:spacing w:after="0" w:line="240" w:lineRule="auto"/>
        <w:rPr>
          <w:rFonts w:ascii="Times New Roman" w:hAnsi="Times New Roman" w:cs="Times New Roman"/>
          <w:sz w:val="24"/>
          <w:szCs w:val="24"/>
        </w:rPr>
      </w:pPr>
      <w:hyperlink r:id="rId9" w:history="1">
        <w:r w:rsidR="009468B2" w:rsidRPr="00296837">
          <w:rPr>
            <w:rStyle w:val="Hyperlink"/>
            <w:rFonts w:ascii="Times New Roman" w:hAnsi="Times New Roman" w:cs="Times New Roman"/>
            <w:sz w:val="24"/>
            <w:szCs w:val="24"/>
          </w:rPr>
          <w:t>rodney@jwharrislaw.com</w:t>
        </w:r>
      </w:hyperlink>
      <w:r w:rsidR="009468B2">
        <w:rPr>
          <w:rFonts w:ascii="Times New Roman" w:hAnsi="Times New Roman" w:cs="Times New Roman"/>
          <w:sz w:val="24"/>
          <w:szCs w:val="24"/>
        </w:rPr>
        <w:tab/>
      </w:r>
    </w:p>
    <w:p w:rsidR="009468B2" w:rsidRPr="00164853" w:rsidRDefault="009468B2" w:rsidP="009468B2">
      <w:pPr>
        <w:spacing w:after="0" w:line="240" w:lineRule="auto"/>
        <w:rPr>
          <w:rFonts w:ascii="Times New Roman" w:hAnsi="Times New Roman" w:cs="Times New Roman"/>
          <w:sz w:val="24"/>
          <w:szCs w:val="24"/>
        </w:rPr>
      </w:pPr>
    </w:p>
    <w:p w:rsidR="009468B2" w:rsidRPr="00164853" w:rsidRDefault="009468B2" w:rsidP="009468B2">
      <w:pPr>
        <w:spacing w:after="0" w:line="240" w:lineRule="auto"/>
        <w:rPr>
          <w:rFonts w:ascii="Times New Roman" w:hAnsi="Times New Roman" w:cs="Times New Roman"/>
          <w:sz w:val="24"/>
          <w:szCs w:val="24"/>
        </w:rPr>
      </w:pPr>
      <w:r w:rsidRPr="00164853">
        <w:rPr>
          <w:rFonts w:ascii="Times New Roman" w:hAnsi="Times New Roman" w:cs="Times New Roman"/>
          <w:sz w:val="24"/>
          <w:szCs w:val="24"/>
        </w:rPr>
        <w:t>Re:</w:t>
      </w:r>
      <w:r w:rsidRPr="00164853">
        <w:rPr>
          <w:rFonts w:ascii="Times New Roman" w:hAnsi="Times New Roman" w:cs="Times New Roman"/>
          <w:sz w:val="24"/>
          <w:szCs w:val="24"/>
        </w:rPr>
        <w:tab/>
      </w:r>
      <w:r w:rsidRPr="00876EBC">
        <w:rPr>
          <w:rFonts w:ascii="Times New Roman" w:hAnsi="Times New Roman" w:cs="Times New Roman"/>
          <w:bCs/>
          <w:i/>
          <w:sz w:val="24"/>
          <w:szCs w:val="24"/>
        </w:rPr>
        <w:t>Hernandez v. Value Meats</w:t>
      </w:r>
    </w:p>
    <w:p w:rsidR="009A10C3" w:rsidRDefault="009468B2" w:rsidP="00044E87">
      <w:pPr>
        <w:spacing w:after="0" w:line="240" w:lineRule="auto"/>
        <w:rPr>
          <w:rFonts w:ascii="Times New Roman" w:hAnsi="Times New Roman" w:cs="Times New Roman"/>
          <w:sz w:val="24"/>
          <w:szCs w:val="24"/>
        </w:rPr>
      </w:pPr>
      <w:r w:rsidRPr="00164853">
        <w:rPr>
          <w:rFonts w:ascii="Times New Roman" w:hAnsi="Times New Roman" w:cs="Times New Roman"/>
          <w:sz w:val="24"/>
          <w:szCs w:val="24"/>
        </w:rPr>
        <w:tab/>
      </w:r>
      <w:r>
        <w:rPr>
          <w:rFonts w:ascii="Times New Roman" w:hAnsi="Times New Roman" w:cs="Times New Roman"/>
          <w:sz w:val="24"/>
          <w:szCs w:val="24"/>
        </w:rPr>
        <w:t>Case No.: BC567678</w:t>
      </w:r>
    </w:p>
    <w:p w:rsidR="009A10C3" w:rsidRDefault="009A10C3" w:rsidP="00044E87">
      <w:pPr>
        <w:spacing w:after="0" w:line="240" w:lineRule="auto"/>
        <w:rPr>
          <w:rFonts w:ascii="Times New Roman" w:hAnsi="Times New Roman" w:cs="Times New Roman"/>
          <w:sz w:val="24"/>
          <w:szCs w:val="24"/>
        </w:rPr>
      </w:pPr>
    </w:p>
    <w:p w:rsidR="009434FB" w:rsidRPr="00155E05" w:rsidRDefault="009434FB" w:rsidP="00B6710F">
      <w:pPr>
        <w:spacing w:after="0" w:line="240" w:lineRule="auto"/>
        <w:jc w:val="both"/>
        <w:rPr>
          <w:rFonts w:ascii="Times New Roman" w:hAnsi="Times New Roman" w:cs="Times New Roman"/>
          <w:sz w:val="24"/>
          <w:szCs w:val="24"/>
        </w:rPr>
      </w:pPr>
      <w:r w:rsidRPr="00155E05">
        <w:rPr>
          <w:rFonts w:ascii="Times New Roman" w:hAnsi="Times New Roman" w:cs="Times New Roman"/>
          <w:sz w:val="24"/>
          <w:szCs w:val="24"/>
        </w:rPr>
        <w:t xml:space="preserve">This letter serves as Counsel for Plaintiffs good faith attempt to "meet and confer" with regard to Defendants' Objections to Plaintiff's </w:t>
      </w:r>
      <w:r w:rsidR="006C3BBF">
        <w:rPr>
          <w:rFonts w:ascii="Times New Roman" w:hAnsi="Times New Roman" w:cs="Times New Roman"/>
          <w:sz w:val="24"/>
          <w:szCs w:val="24"/>
        </w:rPr>
        <w:t>Request for Production of Documents</w:t>
      </w:r>
      <w:r w:rsidRPr="00155E05">
        <w:rPr>
          <w:rFonts w:ascii="Times New Roman" w:hAnsi="Times New Roman" w:cs="Times New Roman"/>
          <w:sz w:val="24"/>
          <w:szCs w:val="24"/>
        </w:rPr>
        <w:t>, Set One (hereina</w:t>
      </w:r>
      <w:r w:rsidR="00BE02B9">
        <w:rPr>
          <w:rFonts w:ascii="Times New Roman" w:hAnsi="Times New Roman" w:cs="Times New Roman"/>
          <w:sz w:val="24"/>
          <w:szCs w:val="24"/>
        </w:rPr>
        <w:t xml:space="preserve">fter "Request for Production"), served by </w:t>
      </w:r>
      <w:r w:rsidRPr="00155E05">
        <w:rPr>
          <w:rFonts w:ascii="Times New Roman" w:hAnsi="Times New Roman" w:cs="Times New Roman"/>
          <w:color w:val="000000"/>
          <w:sz w:val="24"/>
          <w:szCs w:val="24"/>
        </w:rPr>
        <w:t xml:space="preserve">Defendant </w:t>
      </w:r>
      <w:r w:rsidR="00275972" w:rsidRPr="00275972">
        <w:rPr>
          <w:rFonts w:ascii="Times New Roman" w:hAnsi="Times New Roman" w:cs="Times New Roman"/>
          <w:color w:val="000000"/>
          <w:sz w:val="24"/>
          <w:szCs w:val="24"/>
        </w:rPr>
        <w:t>Value Meats</w:t>
      </w:r>
      <w:r w:rsidRPr="00275972">
        <w:rPr>
          <w:rFonts w:ascii="Times New Roman" w:hAnsi="Times New Roman" w:cs="Times New Roman"/>
          <w:color w:val="000000"/>
          <w:sz w:val="24"/>
          <w:szCs w:val="24"/>
        </w:rPr>
        <w:t xml:space="preserve">, </w:t>
      </w:r>
      <w:r w:rsidRPr="00275972">
        <w:rPr>
          <w:rFonts w:ascii="Times New Roman" w:hAnsi="Times New Roman" w:cs="Times New Roman"/>
          <w:sz w:val="24"/>
          <w:szCs w:val="24"/>
        </w:rPr>
        <w:t>in</w:t>
      </w:r>
      <w:r w:rsidRPr="00155E05">
        <w:rPr>
          <w:rFonts w:ascii="Times New Roman" w:hAnsi="Times New Roman" w:cs="Times New Roman"/>
          <w:sz w:val="24"/>
          <w:szCs w:val="24"/>
        </w:rPr>
        <w:t xml:space="preserve"> the above-entitled matter on </w:t>
      </w:r>
      <w:r w:rsidRPr="00F43ED6">
        <w:rPr>
          <w:rFonts w:ascii="Times New Roman" w:hAnsi="Times New Roman" w:cs="Times New Roman"/>
          <w:sz w:val="24"/>
          <w:szCs w:val="24"/>
        </w:rPr>
        <w:t xml:space="preserve">or </w:t>
      </w:r>
      <w:r w:rsidRPr="00BE02B9">
        <w:rPr>
          <w:rFonts w:ascii="Times New Roman" w:hAnsi="Times New Roman" w:cs="Times New Roman"/>
          <w:sz w:val="24"/>
          <w:szCs w:val="24"/>
        </w:rPr>
        <w:t xml:space="preserve">about </w:t>
      </w:r>
      <w:r w:rsidR="00BE02B9" w:rsidRPr="00BE02B9">
        <w:rPr>
          <w:rFonts w:ascii="Times New Roman" w:hAnsi="Times New Roman" w:cs="Times New Roman"/>
          <w:sz w:val="24"/>
          <w:szCs w:val="24"/>
        </w:rPr>
        <w:t>June 1, 2016</w:t>
      </w:r>
      <w:r w:rsidRPr="00BE02B9">
        <w:rPr>
          <w:rFonts w:ascii="Times New Roman" w:hAnsi="Times New Roman" w:cs="Times New Roman"/>
          <w:sz w:val="24"/>
          <w:szCs w:val="24"/>
        </w:rPr>
        <w:t>.</w:t>
      </w:r>
      <w:r w:rsidRPr="00155E05">
        <w:rPr>
          <w:rFonts w:ascii="Times New Roman" w:hAnsi="Times New Roman" w:cs="Times New Roman"/>
          <w:sz w:val="24"/>
          <w:szCs w:val="24"/>
        </w:rPr>
        <w:t xml:space="preserve">  This letter addresses Defendant's deficient response. </w:t>
      </w:r>
    </w:p>
    <w:p w:rsidR="00A914E6" w:rsidRDefault="00A914E6" w:rsidP="00B6710F">
      <w:pPr>
        <w:spacing w:after="0" w:line="240" w:lineRule="auto"/>
        <w:jc w:val="both"/>
        <w:rPr>
          <w:rFonts w:ascii="Times New Roman" w:hAnsi="Times New Roman"/>
          <w:b/>
          <w:sz w:val="24"/>
          <w:szCs w:val="24"/>
        </w:rPr>
      </w:pPr>
    </w:p>
    <w:p w:rsidR="00A914E6" w:rsidRDefault="00A914E6" w:rsidP="00B6710F">
      <w:pPr>
        <w:spacing w:after="0" w:line="240" w:lineRule="auto"/>
        <w:jc w:val="both"/>
        <w:rPr>
          <w:rFonts w:ascii="Times New Roman" w:hAnsi="Times New Roman" w:cs="Times New Roman"/>
          <w:sz w:val="24"/>
          <w:szCs w:val="24"/>
          <w:u w:val="single"/>
        </w:rPr>
      </w:pPr>
      <w:r>
        <w:rPr>
          <w:rFonts w:ascii="Times New Roman" w:hAnsi="Times New Roman" w:cs="Times New Roman"/>
          <w:sz w:val="24"/>
          <w:szCs w:val="24"/>
          <w:u w:val="single"/>
        </w:rPr>
        <w:t xml:space="preserve">REQUEST FOR PRODUCTION OF DOCUMENTS </w:t>
      </w:r>
      <w:r w:rsidRPr="00966623">
        <w:rPr>
          <w:rFonts w:ascii="Times New Roman" w:hAnsi="Times New Roman" w:cs="Times New Roman"/>
          <w:sz w:val="24"/>
          <w:szCs w:val="24"/>
          <w:u w:val="single"/>
        </w:rPr>
        <w:t>#</w:t>
      </w:r>
      <w:r>
        <w:rPr>
          <w:rFonts w:ascii="Times New Roman" w:hAnsi="Times New Roman" w:cs="Times New Roman"/>
          <w:sz w:val="24"/>
          <w:szCs w:val="24"/>
          <w:u w:val="single"/>
        </w:rPr>
        <w:t>24</w:t>
      </w:r>
    </w:p>
    <w:p w:rsidR="00A914E6" w:rsidRDefault="00A914E6" w:rsidP="00B6710F">
      <w:pPr>
        <w:spacing w:after="0" w:line="240" w:lineRule="auto"/>
        <w:jc w:val="both"/>
        <w:rPr>
          <w:rFonts w:ascii="Times New Roman" w:hAnsi="Times New Roman"/>
          <w:sz w:val="24"/>
          <w:szCs w:val="24"/>
        </w:rPr>
      </w:pPr>
    </w:p>
    <w:p w:rsidR="00A914E6" w:rsidRPr="00877772" w:rsidRDefault="00A914E6" w:rsidP="00B6710F">
      <w:pPr>
        <w:spacing w:after="0" w:line="240" w:lineRule="auto"/>
        <w:jc w:val="both"/>
        <w:rPr>
          <w:rFonts w:ascii="Times New Roman" w:hAnsi="Times New Roman"/>
          <w:sz w:val="24"/>
          <w:szCs w:val="24"/>
        </w:rPr>
      </w:pPr>
      <w:r w:rsidRPr="00877772">
        <w:rPr>
          <w:rFonts w:ascii="Times New Roman" w:hAnsi="Times New Roman"/>
          <w:sz w:val="24"/>
          <w:szCs w:val="24"/>
        </w:rPr>
        <w:t xml:space="preserve">Defendant’s objection to this request based on vague and ambiguous is baseless and simply meant to harass.  Defendant has failed to explain how the request is so vague and ambiguous that Defendant is unable to understand what Plaintiff is seeking.  The Courts have held that objections of “vague, ambiguous and unintelligible to a request for any and all bills, statements and invoices may be treated as a nuisance objection…exposing the responding party to sanctions.”  </w:t>
      </w:r>
      <w:proofErr w:type="spellStart"/>
      <w:r w:rsidRPr="00877772">
        <w:rPr>
          <w:rFonts w:ascii="Times New Roman" w:hAnsi="Times New Roman"/>
          <w:i/>
          <w:sz w:val="24"/>
          <w:szCs w:val="24"/>
        </w:rPr>
        <w:t>Standon</w:t>
      </w:r>
      <w:proofErr w:type="spellEnd"/>
      <w:r w:rsidRPr="00877772">
        <w:rPr>
          <w:rFonts w:ascii="Times New Roman" w:hAnsi="Times New Roman"/>
          <w:i/>
          <w:sz w:val="24"/>
          <w:szCs w:val="24"/>
        </w:rPr>
        <w:t xml:space="preserve"> Co., Inc. v Sup. Ct.</w:t>
      </w:r>
      <w:r w:rsidRPr="00877772">
        <w:rPr>
          <w:rFonts w:ascii="Times New Roman" w:hAnsi="Times New Roman"/>
          <w:sz w:val="24"/>
          <w:szCs w:val="24"/>
        </w:rPr>
        <w:t xml:space="preserve"> </w:t>
      </w:r>
      <w:r w:rsidRPr="00877772">
        <w:rPr>
          <w:rFonts w:ascii="Times New Roman" w:hAnsi="Times New Roman"/>
          <w:i/>
          <w:sz w:val="24"/>
          <w:szCs w:val="24"/>
        </w:rPr>
        <w:t>(Kim)</w:t>
      </w:r>
      <w:r w:rsidRPr="00877772">
        <w:rPr>
          <w:rFonts w:ascii="Times New Roman" w:hAnsi="Times New Roman"/>
          <w:sz w:val="24"/>
          <w:szCs w:val="24"/>
        </w:rPr>
        <w:t xml:space="preserve">, (1990) 225 Cal.App.3d 898, 903.  However, to address this objection, the Court has held that objections of “vague, ambiguous and unintelligible to a request for any and all bills, statements and invoices may be treated as a nuisance objection…exposing the responding party to sanctions.”  </w:t>
      </w:r>
      <w:proofErr w:type="spellStart"/>
      <w:r w:rsidRPr="00877772">
        <w:rPr>
          <w:rFonts w:ascii="Times New Roman" w:hAnsi="Times New Roman"/>
          <w:i/>
          <w:sz w:val="24"/>
          <w:szCs w:val="24"/>
        </w:rPr>
        <w:t>Standon</w:t>
      </w:r>
      <w:proofErr w:type="spellEnd"/>
      <w:r w:rsidRPr="00877772">
        <w:rPr>
          <w:rFonts w:ascii="Times New Roman" w:hAnsi="Times New Roman"/>
          <w:i/>
          <w:sz w:val="24"/>
          <w:szCs w:val="24"/>
        </w:rPr>
        <w:t xml:space="preserve"> Co., Inc. v Sup. Ct.</w:t>
      </w:r>
      <w:r w:rsidRPr="00877772">
        <w:rPr>
          <w:rFonts w:ascii="Times New Roman" w:hAnsi="Times New Roman"/>
          <w:sz w:val="24"/>
          <w:szCs w:val="24"/>
        </w:rPr>
        <w:t xml:space="preserve"> </w:t>
      </w:r>
      <w:r w:rsidRPr="00877772">
        <w:rPr>
          <w:rFonts w:ascii="Times New Roman" w:hAnsi="Times New Roman"/>
          <w:i/>
          <w:sz w:val="24"/>
          <w:szCs w:val="24"/>
        </w:rPr>
        <w:t>(Kim)</w:t>
      </w:r>
      <w:r w:rsidRPr="00877772">
        <w:rPr>
          <w:rFonts w:ascii="Times New Roman" w:hAnsi="Times New Roman"/>
          <w:sz w:val="24"/>
          <w:szCs w:val="24"/>
        </w:rPr>
        <w:t>, (1990) 225 Cal.App.3d 898, 903.</w:t>
      </w:r>
    </w:p>
    <w:p w:rsidR="00A914E6" w:rsidRPr="00877772" w:rsidRDefault="00A914E6" w:rsidP="00B6710F">
      <w:pPr>
        <w:spacing w:after="0" w:line="240" w:lineRule="auto"/>
        <w:jc w:val="both"/>
        <w:rPr>
          <w:rFonts w:ascii="Times New Roman" w:hAnsi="Times New Roman"/>
          <w:sz w:val="24"/>
          <w:szCs w:val="24"/>
        </w:rPr>
      </w:pPr>
    </w:p>
    <w:p w:rsidR="00A914E6" w:rsidRPr="00877772" w:rsidRDefault="00A914E6" w:rsidP="00B6710F">
      <w:pPr>
        <w:spacing w:after="0" w:line="240" w:lineRule="auto"/>
        <w:jc w:val="both"/>
        <w:rPr>
          <w:rFonts w:ascii="Times New Roman" w:hAnsi="Times New Roman"/>
          <w:sz w:val="24"/>
          <w:szCs w:val="24"/>
        </w:rPr>
      </w:pPr>
      <w:r w:rsidRPr="00877772">
        <w:rPr>
          <w:rFonts w:ascii="Times New Roman" w:hAnsi="Times New Roman"/>
          <w:sz w:val="24"/>
          <w:szCs w:val="24"/>
        </w:rPr>
        <w:t xml:space="preserve">Defendant also objects based on relevancy.  For the purposes of discovery, information is considered “relevant to the subject matter” if it might reasonably assist a party in evaluating its case, preparing for trial, or facilitating settlement thereof. </w:t>
      </w:r>
      <w:r w:rsidRPr="00877772">
        <w:rPr>
          <w:rFonts w:ascii="Times New Roman" w:hAnsi="Times New Roman"/>
          <w:i/>
          <w:sz w:val="24"/>
          <w:szCs w:val="24"/>
        </w:rPr>
        <w:t>See Gonzalez v. Superior Court</w:t>
      </w:r>
      <w:r w:rsidRPr="00877772">
        <w:rPr>
          <w:rFonts w:ascii="Times New Roman" w:hAnsi="Times New Roman"/>
          <w:sz w:val="24"/>
          <w:szCs w:val="24"/>
        </w:rPr>
        <w:t xml:space="preserve"> (1995) 33 Cal.App.4th 1539, 1546; </w:t>
      </w:r>
      <w:r w:rsidRPr="00877772">
        <w:rPr>
          <w:rFonts w:ascii="Times New Roman" w:hAnsi="Times New Roman"/>
          <w:i/>
          <w:sz w:val="24"/>
          <w:szCs w:val="24"/>
        </w:rPr>
        <w:t>Lipton v. Superior Court</w:t>
      </w:r>
      <w:r w:rsidRPr="00877772">
        <w:rPr>
          <w:rFonts w:ascii="Times New Roman" w:hAnsi="Times New Roman"/>
          <w:sz w:val="24"/>
          <w:szCs w:val="24"/>
        </w:rPr>
        <w:t xml:space="preserve"> (1996) 48 Cal.App.4th 1599, 1611.  Admissibility does not control the scope of discovery; the test is whether the information sought might lead to the discovery of admissible evidence.  See Cal. Code of Civ. Proc. §2017.010.  Any doubts as to the standard for relevance or as to whether the request is reasonably calculated to lead to discovery of admissible evidence is generally resolved in favor of permitting discovery.  </w:t>
      </w:r>
      <w:r w:rsidRPr="00877772">
        <w:rPr>
          <w:rFonts w:ascii="Times New Roman" w:hAnsi="Times New Roman"/>
          <w:i/>
          <w:sz w:val="24"/>
          <w:szCs w:val="24"/>
        </w:rPr>
        <w:t>Colonial Life &amp; Accident Ins. Co. v. Sup. Ct.</w:t>
      </w:r>
      <w:r w:rsidRPr="00877772">
        <w:rPr>
          <w:rFonts w:ascii="Times New Roman" w:hAnsi="Times New Roman"/>
          <w:sz w:val="24"/>
          <w:szCs w:val="24"/>
        </w:rPr>
        <w:t xml:space="preserve"> (Perry) (1982) 31 Cal.3d 785, 790. Defendant has failed to articulate in any fashion how the requested documents are irrelevant, and simply lodges boilerplate objections.</w:t>
      </w:r>
    </w:p>
    <w:p w:rsidR="00A914E6" w:rsidRPr="00877772" w:rsidRDefault="00A914E6" w:rsidP="00B6710F">
      <w:pPr>
        <w:spacing w:after="0" w:line="240" w:lineRule="auto"/>
        <w:jc w:val="both"/>
        <w:rPr>
          <w:rFonts w:ascii="Times New Roman" w:hAnsi="Times New Roman"/>
          <w:sz w:val="24"/>
          <w:szCs w:val="24"/>
        </w:rPr>
      </w:pPr>
    </w:p>
    <w:p w:rsidR="00A914E6" w:rsidRPr="00877772" w:rsidRDefault="00A914E6" w:rsidP="00B6710F">
      <w:pPr>
        <w:spacing w:after="0" w:line="240" w:lineRule="auto"/>
        <w:jc w:val="both"/>
        <w:rPr>
          <w:rFonts w:ascii="Times New Roman" w:hAnsi="Times New Roman"/>
          <w:sz w:val="24"/>
          <w:szCs w:val="24"/>
        </w:rPr>
      </w:pPr>
      <w:r w:rsidRPr="00877772">
        <w:rPr>
          <w:rFonts w:ascii="Times New Roman" w:hAnsi="Times New Roman"/>
          <w:sz w:val="24"/>
          <w:szCs w:val="24"/>
        </w:rPr>
        <w:t xml:space="preserve">Defendant’s next objection is based on unduly burdensome.  Once again, simply lodging an objection does not relieve Defendant of her obligations.  The producing party has the burden “to provide sufficient detail in terms of time, money and procedure required to produce the requested documents...unless it is obvious from the wording of the request itself that it is overbroad, vague, ambiguous or unduly burdensome, an objection simply stating so is not sufficiently specific.” </w:t>
      </w:r>
      <w:r w:rsidRPr="00877772">
        <w:rPr>
          <w:rFonts w:ascii="Times New Roman" w:hAnsi="Times New Roman"/>
          <w:i/>
          <w:sz w:val="24"/>
          <w:szCs w:val="24"/>
        </w:rPr>
        <w:t xml:space="preserve">City of Seattle v. </w:t>
      </w:r>
      <w:proofErr w:type="spellStart"/>
      <w:r w:rsidRPr="00877772">
        <w:rPr>
          <w:rFonts w:ascii="Times New Roman" w:hAnsi="Times New Roman"/>
          <w:i/>
          <w:sz w:val="24"/>
          <w:szCs w:val="24"/>
        </w:rPr>
        <w:t>Prof’l</w:t>
      </w:r>
      <w:proofErr w:type="spellEnd"/>
      <w:r w:rsidRPr="00877772">
        <w:rPr>
          <w:rFonts w:ascii="Times New Roman" w:hAnsi="Times New Roman"/>
          <w:i/>
          <w:sz w:val="24"/>
          <w:szCs w:val="24"/>
        </w:rPr>
        <w:t xml:space="preserve"> Basketball Club, LLC</w:t>
      </w:r>
      <w:r w:rsidRPr="00877772">
        <w:rPr>
          <w:rFonts w:ascii="Times New Roman" w:hAnsi="Times New Roman"/>
          <w:sz w:val="24"/>
          <w:szCs w:val="24"/>
        </w:rPr>
        <w:t>, 2008 WL 539809 (</w:t>
      </w:r>
      <w:proofErr w:type="spellStart"/>
      <w:r w:rsidRPr="00877772">
        <w:rPr>
          <w:rFonts w:ascii="Times New Roman" w:hAnsi="Times New Roman"/>
          <w:sz w:val="24"/>
          <w:szCs w:val="24"/>
        </w:rPr>
        <w:t>W.D</w:t>
      </w:r>
      <w:proofErr w:type="spellEnd"/>
      <w:r w:rsidRPr="00877772">
        <w:rPr>
          <w:rFonts w:ascii="Times New Roman" w:hAnsi="Times New Roman"/>
          <w:sz w:val="24"/>
          <w:szCs w:val="24"/>
        </w:rPr>
        <w:t>. Wash. Feb. 25, 2008).</w:t>
      </w:r>
    </w:p>
    <w:p w:rsidR="00A914E6" w:rsidRPr="00877772" w:rsidRDefault="00A914E6" w:rsidP="00B6710F">
      <w:pPr>
        <w:spacing w:after="0" w:line="240" w:lineRule="auto"/>
        <w:jc w:val="both"/>
        <w:rPr>
          <w:rFonts w:ascii="Times New Roman" w:hAnsi="Times New Roman"/>
          <w:sz w:val="24"/>
          <w:szCs w:val="24"/>
        </w:rPr>
      </w:pPr>
    </w:p>
    <w:p w:rsidR="00A914E6" w:rsidRPr="00877772" w:rsidRDefault="00A914E6" w:rsidP="00B6710F">
      <w:pPr>
        <w:spacing w:after="0" w:line="240" w:lineRule="auto"/>
        <w:jc w:val="both"/>
        <w:rPr>
          <w:rFonts w:ascii="Times New Roman" w:hAnsi="Times New Roman"/>
          <w:sz w:val="24"/>
          <w:szCs w:val="24"/>
        </w:rPr>
      </w:pPr>
      <w:r w:rsidRPr="00877772">
        <w:rPr>
          <w:rFonts w:ascii="Times New Roman" w:hAnsi="Times New Roman"/>
          <w:sz w:val="24"/>
          <w:szCs w:val="24"/>
        </w:rPr>
        <w:t xml:space="preserve">Defendant also lodges an objection based on harassing.  Once again, Defendant has failed to articulate in any fashion how this response is “harassing.”  General objections have been condemned by appellate courts as “nuisance objections” and, even when involving important privileges, have necessitated monetary sanctions to compensate for the time wasted in eliminating them.  </w:t>
      </w:r>
      <w:proofErr w:type="spellStart"/>
      <w:r w:rsidRPr="00877772">
        <w:rPr>
          <w:rFonts w:ascii="Times New Roman" w:hAnsi="Times New Roman"/>
          <w:i/>
          <w:sz w:val="24"/>
          <w:szCs w:val="24"/>
        </w:rPr>
        <w:t>Standon</w:t>
      </w:r>
      <w:proofErr w:type="spellEnd"/>
      <w:r w:rsidRPr="00877772">
        <w:rPr>
          <w:rFonts w:ascii="Times New Roman" w:hAnsi="Times New Roman"/>
          <w:i/>
          <w:sz w:val="24"/>
          <w:szCs w:val="24"/>
        </w:rPr>
        <w:t xml:space="preserve"> v. Superior Court</w:t>
      </w:r>
      <w:r w:rsidRPr="00877772">
        <w:rPr>
          <w:rFonts w:ascii="Times New Roman" w:hAnsi="Times New Roman"/>
          <w:sz w:val="24"/>
          <w:szCs w:val="24"/>
        </w:rPr>
        <w:t xml:space="preserve">, (1990), 225 Cal.App.3d 898 [nuisance objections]. </w:t>
      </w:r>
      <w:r w:rsidRPr="00877772">
        <w:rPr>
          <w:rFonts w:ascii="Times New Roman" w:hAnsi="Times New Roman"/>
          <w:i/>
          <w:sz w:val="24"/>
          <w:szCs w:val="24"/>
        </w:rPr>
        <w:t>Korea Data Systems Co. Ltd. v. Superior Court</w:t>
      </w:r>
      <w:r w:rsidRPr="00877772">
        <w:rPr>
          <w:rFonts w:ascii="Times New Roman" w:hAnsi="Times New Roman"/>
          <w:sz w:val="24"/>
          <w:szCs w:val="24"/>
        </w:rPr>
        <w:t xml:space="preserve">, (1997) 51 Cal.App.4th 1513 [sanctions for general objections even though the attorney-client privilege preserved]. </w:t>
      </w:r>
    </w:p>
    <w:p w:rsidR="00A914E6" w:rsidRPr="00877772" w:rsidRDefault="00A914E6" w:rsidP="00B6710F">
      <w:pPr>
        <w:spacing w:after="0" w:line="240" w:lineRule="auto"/>
        <w:jc w:val="both"/>
        <w:rPr>
          <w:rFonts w:ascii="Times New Roman" w:hAnsi="Times New Roman"/>
          <w:sz w:val="24"/>
          <w:szCs w:val="24"/>
        </w:rPr>
      </w:pPr>
    </w:p>
    <w:p w:rsidR="00A914E6" w:rsidRPr="00877772" w:rsidRDefault="00A914E6" w:rsidP="00B6710F">
      <w:pPr>
        <w:spacing w:after="0" w:line="240" w:lineRule="auto"/>
        <w:jc w:val="both"/>
        <w:rPr>
          <w:rFonts w:ascii="Times New Roman" w:hAnsi="Times New Roman"/>
          <w:sz w:val="24"/>
          <w:szCs w:val="24"/>
        </w:rPr>
      </w:pPr>
      <w:r w:rsidRPr="00877772">
        <w:rPr>
          <w:rFonts w:ascii="Times New Roman" w:hAnsi="Times New Roman"/>
          <w:sz w:val="24"/>
          <w:szCs w:val="24"/>
        </w:rPr>
        <w:t xml:space="preserve">Defendant’s next objection is right to privacy. Defendant should be fully aware that the privacy argument at least in this context doesn’t work.  Information that is “directly relevant to a cause of action” and “essential to determining the truth of the matters in dispute” is discoverable over and above a party’s privacy rights.  </w:t>
      </w:r>
      <w:r w:rsidRPr="00877772">
        <w:rPr>
          <w:rFonts w:ascii="Times New Roman" w:hAnsi="Times New Roman"/>
          <w:i/>
          <w:sz w:val="24"/>
          <w:szCs w:val="24"/>
        </w:rPr>
        <w:t>Cobb v. Sup. Ct.</w:t>
      </w:r>
      <w:r w:rsidRPr="00877772">
        <w:rPr>
          <w:rFonts w:ascii="Times New Roman" w:hAnsi="Times New Roman"/>
          <w:sz w:val="24"/>
          <w:szCs w:val="24"/>
        </w:rPr>
        <w:t xml:space="preserve"> (1979) 99 Cal.App.3d 543, 550; </w:t>
      </w:r>
      <w:r w:rsidRPr="00877772">
        <w:rPr>
          <w:rFonts w:ascii="Times New Roman" w:hAnsi="Times New Roman"/>
          <w:i/>
          <w:sz w:val="24"/>
          <w:szCs w:val="24"/>
        </w:rPr>
        <w:t xml:space="preserve">Britt v. Sup. Ct. </w:t>
      </w:r>
      <w:r w:rsidRPr="00877772">
        <w:rPr>
          <w:rFonts w:ascii="Times New Roman" w:hAnsi="Times New Roman"/>
          <w:sz w:val="24"/>
          <w:szCs w:val="24"/>
        </w:rPr>
        <w:t xml:space="preserve">(San Diego Unified Port Dist.) (1978) 20 Cal.3d 844, 859-62; </w:t>
      </w:r>
      <w:r w:rsidRPr="00877772">
        <w:rPr>
          <w:rFonts w:ascii="Times New Roman" w:hAnsi="Times New Roman"/>
          <w:i/>
          <w:sz w:val="24"/>
          <w:szCs w:val="24"/>
        </w:rPr>
        <w:t>Harris v. Sup. Ct.</w:t>
      </w:r>
      <w:r w:rsidRPr="00877772">
        <w:rPr>
          <w:rFonts w:ascii="Times New Roman" w:hAnsi="Times New Roman"/>
          <w:sz w:val="24"/>
          <w:szCs w:val="24"/>
        </w:rPr>
        <w:t xml:space="preserve"> (</w:t>
      </w:r>
      <w:proofErr w:type="spellStart"/>
      <w:r w:rsidRPr="00877772">
        <w:rPr>
          <w:rFonts w:ascii="Times New Roman" w:hAnsi="Times New Roman"/>
          <w:sz w:val="24"/>
          <w:szCs w:val="24"/>
        </w:rPr>
        <w:t>Smets</w:t>
      </w:r>
      <w:proofErr w:type="spellEnd"/>
      <w:r w:rsidRPr="00877772">
        <w:rPr>
          <w:rFonts w:ascii="Times New Roman" w:hAnsi="Times New Roman"/>
          <w:sz w:val="24"/>
          <w:szCs w:val="24"/>
        </w:rPr>
        <w:t xml:space="preserve">) (1992) 3 Cal.App.4th 661, 665.  Discovery of such private information may be ordered if there are no alternate, less intrusive means by which the information sought may be discovered.  </w:t>
      </w:r>
      <w:r w:rsidRPr="00877772">
        <w:rPr>
          <w:rFonts w:ascii="Times New Roman" w:hAnsi="Times New Roman"/>
          <w:i/>
          <w:sz w:val="24"/>
          <w:szCs w:val="24"/>
        </w:rPr>
        <w:t>Allen v. Sup. Ct.</w:t>
      </w:r>
      <w:r w:rsidRPr="00877772">
        <w:rPr>
          <w:rFonts w:ascii="Times New Roman" w:hAnsi="Times New Roman"/>
          <w:sz w:val="24"/>
          <w:szCs w:val="24"/>
        </w:rPr>
        <w:t xml:space="preserve"> (Sierra) (1984) 151 Cal.App.3d 447, 449.  The information will be ordered discoverable if a court finds that “the public interest in obtaining just results in litigation” outweighs the “claimed right of privacy.”  </w:t>
      </w:r>
      <w:r w:rsidRPr="00877772">
        <w:rPr>
          <w:rFonts w:ascii="Times New Roman" w:hAnsi="Times New Roman"/>
          <w:i/>
          <w:sz w:val="24"/>
          <w:szCs w:val="24"/>
        </w:rPr>
        <w:t>Valley Bank of Nevada v. Sup. Ct.</w:t>
      </w:r>
      <w:r w:rsidRPr="00877772">
        <w:rPr>
          <w:rFonts w:ascii="Times New Roman" w:hAnsi="Times New Roman"/>
          <w:sz w:val="24"/>
          <w:szCs w:val="24"/>
        </w:rPr>
        <w:t xml:space="preserve"> (</w:t>
      </w:r>
      <w:proofErr w:type="spellStart"/>
      <w:r w:rsidRPr="00877772">
        <w:rPr>
          <w:rFonts w:ascii="Times New Roman" w:hAnsi="Times New Roman"/>
          <w:sz w:val="24"/>
          <w:szCs w:val="24"/>
        </w:rPr>
        <w:t>Barkett</w:t>
      </w:r>
      <w:proofErr w:type="spellEnd"/>
      <w:r w:rsidRPr="00877772">
        <w:rPr>
          <w:rFonts w:ascii="Times New Roman" w:hAnsi="Times New Roman"/>
          <w:sz w:val="24"/>
          <w:szCs w:val="24"/>
        </w:rPr>
        <w:t>) (1975) 15 Cal.3d 652, 657.</w:t>
      </w:r>
    </w:p>
    <w:p w:rsidR="00A914E6" w:rsidRPr="00877772" w:rsidRDefault="00A914E6" w:rsidP="00B6710F">
      <w:pPr>
        <w:spacing w:after="0" w:line="240" w:lineRule="auto"/>
        <w:jc w:val="both"/>
        <w:rPr>
          <w:rFonts w:ascii="Times New Roman" w:hAnsi="Times New Roman"/>
          <w:sz w:val="24"/>
          <w:szCs w:val="24"/>
        </w:rPr>
      </w:pPr>
    </w:p>
    <w:p w:rsidR="00A914E6" w:rsidRDefault="00A914E6" w:rsidP="00B6710F">
      <w:pPr>
        <w:spacing w:after="0" w:line="240" w:lineRule="auto"/>
        <w:jc w:val="both"/>
        <w:rPr>
          <w:rFonts w:ascii="Times New Roman" w:hAnsi="Times New Roman"/>
          <w:sz w:val="24"/>
          <w:szCs w:val="24"/>
        </w:rPr>
      </w:pPr>
      <w:r w:rsidRPr="00877772">
        <w:rPr>
          <w:rFonts w:ascii="Times New Roman" w:hAnsi="Times New Roman"/>
          <w:sz w:val="24"/>
          <w:szCs w:val="24"/>
        </w:rPr>
        <w:t xml:space="preserve">Defendant objects on the basis on both the attorney-client privilege and attorney work product doctrine.  Defendant’s response lacks sufficient information based on such an objection.  Pursuant to </w:t>
      </w:r>
      <w:proofErr w:type="spellStart"/>
      <w:r w:rsidRPr="00877772">
        <w:rPr>
          <w:rFonts w:ascii="Times New Roman" w:hAnsi="Times New Roman"/>
          <w:sz w:val="24"/>
          <w:szCs w:val="24"/>
        </w:rPr>
        <w:t>C.C.P</w:t>
      </w:r>
      <w:proofErr w:type="spellEnd"/>
      <w:r w:rsidRPr="00877772">
        <w:rPr>
          <w:rFonts w:ascii="Times New Roman" w:hAnsi="Times New Roman"/>
          <w:sz w:val="24"/>
          <w:szCs w:val="24"/>
        </w:rPr>
        <w:t xml:space="preserve">. §2031.240(c)(1), the objecting party must provide sufficient factual information to enable other parties to evaluate the merits of the claim, including, if necessary a privilege log.  Defendant must provide a privilege log that identifies each document for which a privilege or work product protection is claimed, its author, recipients, date of preparation, and the specific privilege or work product protection claims.  </w:t>
      </w:r>
      <w:r w:rsidRPr="00877772">
        <w:rPr>
          <w:rFonts w:ascii="Times New Roman" w:hAnsi="Times New Roman"/>
          <w:i/>
          <w:sz w:val="24"/>
          <w:szCs w:val="24"/>
        </w:rPr>
        <w:t>Hernandez v Sup.Ct. (Acheson Industries, Inc.)</w:t>
      </w:r>
      <w:r w:rsidRPr="00877772">
        <w:rPr>
          <w:rFonts w:ascii="Times New Roman" w:hAnsi="Times New Roman"/>
          <w:sz w:val="24"/>
          <w:szCs w:val="24"/>
        </w:rPr>
        <w:t xml:space="preserve"> (2003) 112 Cal.App.4th 285, 291-292.  Furthermore, the information in the privilege log must be sufficiently specific to allow a determination of whether each withheld document is or is not (in) fact privileged.  </w:t>
      </w:r>
      <w:proofErr w:type="spellStart"/>
      <w:r w:rsidRPr="00877772">
        <w:rPr>
          <w:rFonts w:ascii="Times New Roman" w:hAnsi="Times New Roman"/>
          <w:i/>
          <w:sz w:val="24"/>
          <w:szCs w:val="24"/>
        </w:rPr>
        <w:t>Wellpoint</w:t>
      </w:r>
      <w:proofErr w:type="spellEnd"/>
      <w:r w:rsidRPr="00877772">
        <w:rPr>
          <w:rFonts w:ascii="Times New Roman" w:hAnsi="Times New Roman"/>
          <w:i/>
          <w:sz w:val="24"/>
          <w:szCs w:val="24"/>
        </w:rPr>
        <w:t xml:space="preserve"> Health Networks, Inc. v. Sup.Ct. (McCombs)</w:t>
      </w:r>
      <w:r w:rsidRPr="00877772">
        <w:rPr>
          <w:rFonts w:ascii="Times New Roman" w:hAnsi="Times New Roman"/>
          <w:sz w:val="24"/>
          <w:szCs w:val="24"/>
        </w:rPr>
        <w:t xml:space="preserve"> (1997) 59 Cal.App.4th 110, 130.</w:t>
      </w:r>
      <w:r>
        <w:rPr>
          <w:rFonts w:ascii="Times New Roman" w:hAnsi="Times New Roman"/>
          <w:sz w:val="24"/>
          <w:szCs w:val="24"/>
        </w:rPr>
        <w:t xml:space="preserve">  </w:t>
      </w:r>
    </w:p>
    <w:p w:rsidR="00A914E6" w:rsidRDefault="00A914E6" w:rsidP="00B6710F">
      <w:pPr>
        <w:spacing w:after="0" w:line="240" w:lineRule="auto"/>
        <w:jc w:val="both"/>
        <w:rPr>
          <w:rFonts w:ascii="Times New Roman" w:hAnsi="Times New Roman"/>
          <w:sz w:val="24"/>
          <w:szCs w:val="24"/>
        </w:rPr>
      </w:pPr>
    </w:p>
    <w:p w:rsidR="00A914E6" w:rsidRDefault="00A914E6" w:rsidP="00B6710F">
      <w:pPr>
        <w:pStyle w:val="BodyTextIndent"/>
        <w:widowControl w:val="0"/>
        <w:spacing w:after="0" w:line="240" w:lineRule="auto"/>
        <w:ind w:left="0"/>
        <w:jc w:val="both"/>
        <w:rPr>
          <w:rFonts w:ascii="Times New Roman" w:hAnsi="Times New Roman"/>
          <w:sz w:val="24"/>
          <w:szCs w:val="24"/>
        </w:rPr>
      </w:pPr>
      <w:r>
        <w:rPr>
          <w:rFonts w:ascii="Times New Roman" w:hAnsi="Times New Roman"/>
          <w:sz w:val="24"/>
          <w:szCs w:val="24"/>
        </w:rPr>
        <w:t xml:space="preserve">Plaintiff is entitled to this information for all the reasons expressed above as well as the facts that this information: 1) is relevant to class certification issues of commonality and typicality; 2) is necessary for Plaintiff to conduct an adequate precertification and/or pretrial investigation; 4) is necessary for Plaintiff to carry out fiduciary and ethical duties owed to the absent class members; and 5) creates no risk of prejudice to Defendant by such disclosure. </w:t>
      </w:r>
    </w:p>
    <w:p w:rsidR="00A914E6" w:rsidRDefault="00A914E6" w:rsidP="00B6710F">
      <w:pPr>
        <w:spacing w:after="0" w:line="240" w:lineRule="auto"/>
        <w:jc w:val="both"/>
        <w:rPr>
          <w:rFonts w:ascii="Times New Roman" w:hAnsi="Times New Roman"/>
          <w:sz w:val="24"/>
          <w:szCs w:val="24"/>
        </w:rPr>
      </w:pPr>
    </w:p>
    <w:p w:rsidR="00A914E6" w:rsidRDefault="00A914E6" w:rsidP="00B6710F">
      <w:pPr>
        <w:widowControl w:val="0"/>
        <w:spacing w:after="0" w:line="240" w:lineRule="auto"/>
        <w:jc w:val="both"/>
        <w:rPr>
          <w:rFonts w:ascii="Times New Roman" w:hAnsi="Times New Roman"/>
          <w:sz w:val="24"/>
          <w:szCs w:val="24"/>
        </w:rPr>
      </w:pPr>
      <w:r>
        <w:rPr>
          <w:rFonts w:ascii="Times New Roman" w:hAnsi="Times New Roman"/>
          <w:sz w:val="24"/>
          <w:szCs w:val="24"/>
        </w:rPr>
        <w:t xml:space="preserve">As the court stated in </w:t>
      </w:r>
      <w:r>
        <w:rPr>
          <w:rFonts w:ascii="Times New Roman" w:hAnsi="Times New Roman"/>
          <w:i/>
          <w:iCs/>
          <w:sz w:val="24"/>
          <w:szCs w:val="24"/>
        </w:rPr>
        <w:t>Atari, Inc. v. Superior Court</w:t>
      </w:r>
      <w:r w:rsidR="00E86622">
        <w:rPr>
          <w:rFonts w:ascii="Times New Roman" w:hAnsi="Times New Roman"/>
          <w:sz w:val="24"/>
          <w:szCs w:val="24"/>
        </w:rPr>
        <w:t xml:space="preserve"> (1985) 166 Cal.App.3d 867: </w:t>
      </w:r>
      <w:r>
        <w:rPr>
          <w:rFonts w:ascii="Times New Roman" w:hAnsi="Times New Roman"/>
          <w:sz w:val="24"/>
          <w:szCs w:val="24"/>
        </w:rPr>
        <w:t xml:space="preserve">“A determination ‘whether the common questions are sufficiently pervasive to permit adjudication in a class action rather than in a multiplicity of suits’ cannot realistically be made until the parties have had a chance to conduct reasonable investigation.” </w:t>
      </w:r>
      <w:r>
        <w:rPr>
          <w:rFonts w:ascii="Times New Roman" w:hAnsi="Times New Roman"/>
          <w:iCs/>
          <w:sz w:val="24"/>
          <w:szCs w:val="24"/>
        </w:rPr>
        <w:t>(</w:t>
      </w:r>
      <w:r>
        <w:rPr>
          <w:rFonts w:ascii="Times New Roman" w:hAnsi="Times New Roman"/>
          <w:i/>
          <w:iCs/>
          <w:sz w:val="24"/>
          <w:szCs w:val="24"/>
        </w:rPr>
        <w:t xml:space="preserve">Id. </w:t>
      </w:r>
      <w:r>
        <w:rPr>
          <w:rFonts w:ascii="Times New Roman" w:hAnsi="Times New Roman"/>
          <w:iCs/>
          <w:sz w:val="24"/>
          <w:szCs w:val="24"/>
        </w:rPr>
        <w:t xml:space="preserve">at 870.)  </w:t>
      </w:r>
      <w:r>
        <w:rPr>
          <w:rFonts w:ascii="Times New Roman" w:hAnsi="Times New Roman"/>
          <w:sz w:val="24"/>
          <w:szCs w:val="24"/>
        </w:rPr>
        <w:t xml:space="preserve">Here, Plaintiff will suffer an immeasurable prejudice without the ability to conduct reasonable investigation in anticipation of class certification.  All counsel are permitted fair precertification communication pursuant to </w:t>
      </w:r>
      <w:r>
        <w:rPr>
          <w:rFonts w:ascii="Times New Roman" w:hAnsi="Times New Roman"/>
          <w:i/>
          <w:iCs/>
          <w:sz w:val="24"/>
          <w:szCs w:val="24"/>
        </w:rPr>
        <w:t>Gulf Oil Co. v. Bernard</w:t>
      </w:r>
      <w:r>
        <w:rPr>
          <w:rFonts w:ascii="Times New Roman" w:hAnsi="Times New Roman"/>
          <w:iCs/>
          <w:sz w:val="24"/>
          <w:szCs w:val="24"/>
        </w:rPr>
        <w:t xml:space="preserve"> </w:t>
      </w:r>
      <w:r>
        <w:rPr>
          <w:rFonts w:ascii="Times New Roman" w:hAnsi="Times New Roman"/>
          <w:sz w:val="24"/>
          <w:szCs w:val="24"/>
        </w:rPr>
        <w:t>(1981) 452 U.S. 89 and its progeny. Consistent with fundamental fairness, in the absence of abuse, neither party should be precluded from investigating and preparing its case for certification. (</w:t>
      </w:r>
      <w:r>
        <w:rPr>
          <w:rFonts w:ascii="Times New Roman" w:hAnsi="Times New Roman"/>
          <w:i/>
          <w:iCs/>
          <w:sz w:val="24"/>
          <w:szCs w:val="24"/>
        </w:rPr>
        <w:t>Atari</w:t>
      </w:r>
      <w:r>
        <w:rPr>
          <w:rFonts w:ascii="Times New Roman" w:hAnsi="Times New Roman"/>
          <w:sz w:val="24"/>
          <w:szCs w:val="24"/>
        </w:rPr>
        <w:t xml:space="preserve">, </w:t>
      </w:r>
      <w:r>
        <w:rPr>
          <w:rFonts w:ascii="Times New Roman" w:hAnsi="Times New Roman"/>
          <w:i/>
          <w:sz w:val="24"/>
          <w:szCs w:val="24"/>
        </w:rPr>
        <w:t>supra</w:t>
      </w:r>
      <w:r>
        <w:rPr>
          <w:rFonts w:ascii="Times New Roman" w:hAnsi="Times New Roman"/>
          <w:sz w:val="24"/>
          <w:szCs w:val="24"/>
        </w:rPr>
        <w:t>, 166 Cal.App.3d at 873.)</w:t>
      </w:r>
    </w:p>
    <w:p w:rsidR="00A914E6" w:rsidRDefault="00A914E6" w:rsidP="00B6710F">
      <w:pPr>
        <w:spacing w:after="0" w:line="240" w:lineRule="auto"/>
        <w:jc w:val="both"/>
        <w:rPr>
          <w:rFonts w:ascii="Times New Roman" w:hAnsi="Times New Roman" w:cs="Times New Roman"/>
          <w:sz w:val="24"/>
          <w:szCs w:val="24"/>
        </w:rPr>
      </w:pPr>
    </w:p>
    <w:p w:rsidR="00166025" w:rsidRPr="00BE02B9" w:rsidRDefault="00A914E6" w:rsidP="00B6710F">
      <w:pPr>
        <w:spacing w:after="0" w:line="240" w:lineRule="auto"/>
        <w:jc w:val="both"/>
        <w:rPr>
          <w:rFonts w:ascii="Times New Roman" w:hAnsi="Times New Roman"/>
          <w:sz w:val="24"/>
          <w:szCs w:val="24"/>
        </w:rPr>
      </w:pPr>
      <w:r w:rsidRPr="00AB33CC">
        <w:rPr>
          <w:rFonts w:ascii="Times New Roman" w:hAnsi="Times New Roman"/>
          <w:sz w:val="24"/>
          <w:szCs w:val="24"/>
        </w:rPr>
        <w:t>Pla</w:t>
      </w:r>
      <w:r>
        <w:rPr>
          <w:rFonts w:ascii="Times New Roman" w:hAnsi="Times New Roman"/>
          <w:sz w:val="24"/>
          <w:szCs w:val="24"/>
        </w:rPr>
        <w:t xml:space="preserve">intiff’s request that Defendant produce all writings which evidence, refer or relate to any claim filed by a current and/or former employee against Defendant with the Department of Labor Standards Enforcement is within the purview of reasonable.  Plaintiff has made specific allegations as to Defendant’s conduct, specifically, that Defendant has failed to compensate Plaintiff for all hours worked as well as overtime and failed to provide </w:t>
      </w:r>
      <w:r w:rsidR="00E86622">
        <w:rPr>
          <w:rFonts w:ascii="Times New Roman" w:hAnsi="Times New Roman"/>
          <w:sz w:val="24"/>
          <w:szCs w:val="24"/>
        </w:rPr>
        <w:t xml:space="preserve">meal and/or rest periods. This </w:t>
      </w:r>
      <w:r>
        <w:rPr>
          <w:rFonts w:ascii="Times New Roman" w:hAnsi="Times New Roman"/>
          <w:sz w:val="24"/>
          <w:szCs w:val="24"/>
        </w:rPr>
        <w:t xml:space="preserve">request directly bears on the issues raised in Plaintiff’s complaint as Plaintiff has fashioned this case as a class action and has alleged that the conduct of Defendant was directed to not only Plaintiff but also to Defendant’s current and former employees. </w:t>
      </w:r>
      <w:r w:rsidR="00E86622">
        <w:rPr>
          <w:rFonts w:ascii="Times New Roman" w:hAnsi="Times New Roman"/>
          <w:sz w:val="24"/>
          <w:szCs w:val="24"/>
        </w:rPr>
        <w:t>Furthermore, there are no privacy rights involved as this document was filed in the public purview.</w:t>
      </w:r>
    </w:p>
    <w:p w:rsidR="00F43ED6" w:rsidRPr="00155E05" w:rsidRDefault="00F43ED6" w:rsidP="00B6710F">
      <w:pPr>
        <w:spacing w:after="0" w:line="240" w:lineRule="auto"/>
        <w:jc w:val="both"/>
        <w:rPr>
          <w:rFonts w:ascii="Times New Roman" w:hAnsi="Times New Roman" w:cs="Times New Roman"/>
          <w:sz w:val="24"/>
          <w:szCs w:val="24"/>
        </w:rPr>
      </w:pPr>
    </w:p>
    <w:p w:rsidR="009434FB" w:rsidRPr="00155E05" w:rsidRDefault="000F2DBD" w:rsidP="00B6710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Please provide supplemental responses to all discovery outlined in Plaintiff’s meet and confer letter by </w:t>
      </w:r>
      <w:r w:rsidR="00BE02B9">
        <w:rPr>
          <w:rFonts w:ascii="Times New Roman" w:hAnsi="Times New Roman" w:cs="Times New Roman"/>
          <w:sz w:val="24"/>
          <w:szCs w:val="24"/>
        </w:rPr>
        <w:t>July</w:t>
      </w:r>
      <w:r w:rsidR="00E86622">
        <w:rPr>
          <w:rFonts w:ascii="Times New Roman" w:hAnsi="Times New Roman" w:cs="Times New Roman"/>
          <w:sz w:val="24"/>
          <w:szCs w:val="24"/>
        </w:rPr>
        <w:t xml:space="preserve"> 2</w:t>
      </w:r>
      <w:r w:rsidR="00BE02B9">
        <w:rPr>
          <w:rFonts w:ascii="Times New Roman" w:hAnsi="Times New Roman" w:cs="Times New Roman"/>
          <w:sz w:val="24"/>
          <w:szCs w:val="24"/>
        </w:rPr>
        <w:t>5</w:t>
      </w:r>
      <w:r w:rsidR="00E86622">
        <w:rPr>
          <w:rFonts w:ascii="Times New Roman" w:hAnsi="Times New Roman" w:cs="Times New Roman"/>
          <w:sz w:val="24"/>
          <w:szCs w:val="24"/>
        </w:rPr>
        <w:t>, 2016</w:t>
      </w:r>
      <w:r>
        <w:rPr>
          <w:rFonts w:ascii="Times New Roman" w:hAnsi="Times New Roman" w:cs="Times New Roman"/>
          <w:sz w:val="24"/>
          <w:szCs w:val="24"/>
        </w:rPr>
        <w:t>.  I thank you in advance for your time and attention in this matter.</w:t>
      </w:r>
    </w:p>
    <w:p w:rsidR="009434FB" w:rsidRPr="00155E05" w:rsidRDefault="009434FB" w:rsidP="00B6710F">
      <w:pPr>
        <w:spacing w:after="0" w:line="240" w:lineRule="auto"/>
        <w:jc w:val="both"/>
        <w:rPr>
          <w:rFonts w:ascii="Times New Roman" w:hAnsi="Times New Roman" w:cs="Times New Roman"/>
          <w:sz w:val="24"/>
          <w:szCs w:val="24"/>
        </w:rPr>
      </w:pPr>
    </w:p>
    <w:p w:rsidR="009434FB" w:rsidRPr="00155E05" w:rsidRDefault="009434FB" w:rsidP="00E91B7D">
      <w:pPr>
        <w:spacing w:after="0" w:line="240" w:lineRule="auto"/>
        <w:rPr>
          <w:rFonts w:ascii="Times New Roman" w:hAnsi="Times New Roman" w:cs="Times New Roman"/>
          <w:sz w:val="24"/>
          <w:szCs w:val="24"/>
        </w:rPr>
      </w:pPr>
    </w:p>
    <w:p w:rsidR="009434FB" w:rsidRPr="00155E05" w:rsidRDefault="009434FB" w:rsidP="00E91B7D">
      <w:pPr>
        <w:spacing w:after="0" w:line="240" w:lineRule="auto"/>
        <w:rPr>
          <w:rFonts w:ascii="Times New Roman" w:hAnsi="Times New Roman" w:cs="Times New Roman"/>
          <w:sz w:val="24"/>
          <w:szCs w:val="24"/>
        </w:rPr>
      </w:pPr>
      <w:r w:rsidRPr="00155E05">
        <w:rPr>
          <w:rFonts w:ascii="Times New Roman" w:hAnsi="Times New Roman" w:cs="Times New Roman"/>
          <w:sz w:val="24"/>
          <w:szCs w:val="24"/>
        </w:rPr>
        <w:t>Sincerely,</w:t>
      </w:r>
    </w:p>
    <w:p w:rsidR="009434FB" w:rsidRPr="00155E05" w:rsidRDefault="009434FB" w:rsidP="00E91B7D">
      <w:pPr>
        <w:spacing w:after="0" w:line="240" w:lineRule="auto"/>
        <w:rPr>
          <w:rFonts w:ascii="Times New Roman" w:hAnsi="Times New Roman" w:cs="Times New Roman"/>
          <w:sz w:val="24"/>
          <w:szCs w:val="24"/>
        </w:rPr>
      </w:pPr>
    </w:p>
    <w:p w:rsidR="009434FB" w:rsidRPr="00155E05" w:rsidRDefault="009434FB" w:rsidP="00E91B7D">
      <w:pPr>
        <w:spacing w:after="0" w:line="240" w:lineRule="auto"/>
        <w:rPr>
          <w:rFonts w:ascii="Times New Roman" w:hAnsi="Times New Roman" w:cs="Times New Roman"/>
          <w:sz w:val="24"/>
          <w:szCs w:val="24"/>
        </w:rPr>
      </w:pPr>
    </w:p>
    <w:p w:rsidR="009434FB" w:rsidRDefault="00BE02B9" w:rsidP="00E91B7D">
      <w:pPr>
        <w:spacing w:after="0" w:line="240" w:lineRule="auto"/>
        <w:rPr>
          <w:rFonts w:ascii="Times New Roman" w:hAnsi="Times New Roman" w:cs="Times New Roman"/>
          <w:sz w:val="24"/>
          <w:szCs w:val="24"/>
        </w:rPr>
      </w:pPr>
      <w:r>
        <w:rPr>
          <w:rFonts w:ascii="Times New Roman" w:hAnsi="Times New Roman" w:cs="Times New Roman"/>
          <w:sz w:val="24"/>
          <w:szCs w:val="24"/>
        </w:rPr>
        <w:t>Kevin Mahoney</w:t>
      </w:r>
    </w:p>
    <w:p w:rsidR="00BE02B9" w:rsidRPr="00155E05" w:rsidRDefault="00BE02B9" w:rsidP="00E91B7D">
      <w:pPr>
        <w:spacing w:after="0" w:line="240" w:lineRule="auto"/>
        <w:rPr>
          <w:rFonts w:ascii="Times New Roman" w:hAnsi="Times New Roman" w:cs="Times New Roman"/>
          <w:b/>
          <w:bCs/>
          <w:sz w:val="24"/>
          <w:szCs w:val="24"/>
        </w:rPr>
      </w:pPr>
      <w:r>
        <w:rPr>
          <w:rFonts w:ascii="Times New Roman" w:hAnsi="Times New Roman" w:cs="Times New Roman"/>
          <w:sz w:val="24"/>
          <w:szCs w:val="24"/>
        </w:rPr>
        <w:t>KM/</w:t>
      </w:r>
      <w:proofErr w:type="spellStart"/>
      <w:r>
        <w:rPr>
          <w:rFonts w:ascii="Times New Roman" w:hAnsi="Times New Roman" w:cs="Times New Roman"/>
          <w:sz w:val="24"/>
          <w:szCs w:val="24"/>
        </w:rPr>
        <w:t>nrp</w:t>
      </w:r>
      <w:proofErr w:type="spellEnd"/>
    </w:p>
    <w:sectPr w:rsidR="00BE02B9" w:rsidRPr="00155E05" w:rsidSect="00D454A6">
      <w:headerReference w:type="default" r:id="rId10"/>
      <w:headerReference w:type="firs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E01DB" w:rsidRDefault="00FE01DB" w:rsidP="00A059FD">
      <w:pPr>
        <w:spacing w:after="0" w:line="240" w:lineRule="auto"/>
      </w:pPr>
      <w:r>
        <w:separator/>
      </w:r>
    </w:p>
  </w:endnote>
  <w:endnote w:type="continuationSeparator" w:id="0">
    <w:p w:rsidR="00FE01DB" w:rsidRDefault="00FE01DB" w:rsidP="00A059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E01DB" w:rsidRDefault="00FE01DB" w:rsidP="00A059FD">
      <w:pPr>
        <w:spacing w:after="0" w:line="240" w:lineRule="auto"/>
      </w:pPr>
      <w:r>
        <w:separator/>
      </w:r>
    </w:p>
  </w:footnote>
  <w:footnote w:type="continuationSeparator" w:id="0">
    <w:p w:rsidR="00FE01DB" w:rsidRDefault="00FE01DB" w:rsidP="00A059F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222A1" w:rsidRPr="00155E05" w:rsidRDefault="00BE02B9" w:rsidP="00EF79CC">
    <w:pPr>
      <w:spacing w:after="0" w:line="240" w:lineRule="auto"/>
      <w:rPr>
        <w:rFonts w:ascii="Times New Roman" w:hAnsi="Times New Roman" w:cs="Times New Roman"/>
        <w:sz w:val="24"/>
        <w:szCs w:val="24"/>
      </w:rPr>
    </w:pPr>
    <w:r>
      <w:rPr>
        <w:rFonts w:ascii="Times New Roman" w:hAnsi="Times New Roman" w:cs="Times New Roman"/>
        <w:sz w:val="24"/>
        <w:szCs w:val="24"/>
      </w:rPr>
      <w:t>John W. Harris,</w:t>
    </w:r>
    <w:r w:rsidR="007222A1" w:rsidRPr="00155E05">
      <w:rPr>
        <w:rFonts w:ascii="Times New Roman" w:hAnsi="Times New Roman" w:cs="Times New Roman"/>
        <w:sz w:val="24"/>
        <w:szCs w:val="24"/>
      </w:rPr>
      <w:t xml:space="preserve"> Esq.</w:t>
    </w:r>
  </w:p>
  <w:p w:rsidR="007222A1" w:rsidRDefault="00BE02B9">
    <w:pPr>
      <w:pStyle w:val="Header"/>
    </w:pPr>
    <w:r>
      <w:t>July 18, 2016</w:t>
    </w:r>
  </w:p>
  <w:p w:rsidR="007222A1" w:rsidRDefault="007222A1">
    <w:pPr>
      <w:pStyle w:val="Header"/>
    </w:pPr>
    <w:r>
      <w:t xml:space="preserve">Page </w:t>
    </w:r>
    <w:r>
      <w:rPr>
        <w:b/>
        <w:bCs/>
      </w:rPr>
      <w:fldChar w:fldCharType="begin"/>
    </w:r>
    <w:r>
      <w:rPr>
        <w:b/>
        <w:bCs/>
      </w:rPr>
      <w:instrText xml:space="preserve"> PAGE </w:instrText>
    </w:r>
    <w:r>
      <w:rPr>
        <w:b/>
        <w:bCs/>
      </w:rPr>
      <w:fldChar w:fldCharType="separate"/>
    </w:r>
    <w:r w:rsidR="009979B6">
      <w:rPr>
        <w:b/>
        <w:bCs/>
        <w:noProof/>
      </w:rPr>
      <w:t>3</w:t>
    </w:r>
    <w:r>
      <w:rPr>
        <w:b/>
        <w:bCs/>
      </w:rPr>
      <w:fldChar w:fldCharType="end"/>
    </w:r>
    <w:r>
      <w:t xml:space="preserve"> of </w:t>
    </w:r>
    <w:r>
      <w:rPr>
        <w:b/>
        <w:bCs/>
      </w:rPr>
      <w:fldChar w:fldCharType="begin"/>
    </w:r>
    <w:r>
      <w:rPr>
        <w:b/>
        <w:bCs/>
      </w:rPr>
      <w:instrText xml:space="preserve"> NUMPAGES  </w:instrText>
    </w:r>
    <w:r>
      <w:rPr>
        <w:b/>
        <w:bCs/>
      </w:rPr>
      <w:fldChar w:fldCharType="separate"/>
    </w:r>
    <w:r w:rsidR="009979B6">
      <w:rPr>
        <w:b/>
        <w:bCs/>
        <w:noProof/>
      </w:rPr>
      <w:t>3</w:t>
    </w:r>
    <w:r>
      <w:rPr>
        <w:b/>
        <w:bCs/>
      </w:rPr>
      <w:fldChar w:fldCharType="end"/>
    </w:r>
  </w:p>
  <w:p w:rsidR="007222A1" w:rsidRDefault="007222A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222A1" w:rsidRDefault="007222A1" w:rsidP="00D454A6">
    <w:pPr>
      <w:pStyle w:val="Header"/>
      <w:rPr>
        <w:sz w:val="20"/>
        <w:szCs w:val="20"/>
      </w:rPr>
    </w:pPr>
    <w:r>
      <w:rPr>
        <w:sz w:val="20"/>
        <w:szCs w:val="20"/>
      </w:rPr>
      <w:tab/>
    </w:r>
    <w:r>
      <w:rPr>
        <w:sz w:val="20"/>
        <w:szCs w:val="20"/>
      </w:rPr>
      <w:tab/>
    </w:r>
  </w:p>
  <w:p w:rsidR="007222A1" w:rsidRDefault="007222A1" w:rsidP="00D454A6">
    <w:pPr>
      <w:pStyle w:val="Header"/>
      <w:rPr>
        <w:sz w:val="20"/>
        <w:szCs w:val="20"/>
      </w:rPr>
    </w:pPr>
  </w:p>
  <w:p w:rsidR="007222A1" w:rsidRDefault="007222A1" w:rsidP="00D454A6">
    <w:pPr>
      <w:pStyle w:val="Header"/>
      <w:rPr>
        <w:sz w:val="20"/>
        <w:szCs w:val="20"/>
      </w:rPr>
    </w:pPr>
  </w:p>
  <w:p w:rsidR="007222A1" w:rsidRDefault="007222A1" w:rsidP="00D454A6">
    <w:pPr>
      <w:pStyle w:val="Header"/>
      <w:rPr>
        <w:sz w:val="20"/>
        <w:szCs w:val="20"/>
      </w:rPr>
    </w:pPr>
  </w:p>
  <w:p w:rsidR="007222A1" w:rsidRDefault="007222A1" w:rsidP="00D454A6">
    <w:pPr>
      <w:pStyle w:val="Header"/>
      <w:rPr>
        <w:sz w:val="20"/>
        <w:szCs w:val="20"/>
      </w:rPr>
    </w:pPr>
  </w:p>
  <w:p w:rsidR="007222A1" w:rsidRDefault="007222A1" w:rsidP="00D454A6">
    <w:pPr>
      <w:pStyle w:val="Header"/>
      <w:rPr>
        <w:sz w:val="20"/>
        <w:szCs w:val="20"/>
      </w:rPr>
    </w:pPr>
  </w:p>
  <w:p w:rsidR="007222A1" w:rsidRDefault="007222A1" w:rsidP="00D454A6">
    <w:pPr>
      <w:pStyle w:val="Header"/>
      <w:rPr>
        <w:sz w:val="20"/>
        <w:szCs w:val="20"/>
      </w:rPr>
    </w:pPr>
  </w:p>
  <w:p w:rsidR="007222A1" w:rsidRPr="000A14FE" w:rsidRDefault="007222A1" w:rsidP="00D454A6">
    <w:pPr>
      <w:pStyle w:val="Header"/>
      <w:rPr>
        <w:sz w:val="20"/>
        <w:szCs w:val="20"/>
      </w:rPr>
    </w:pPr>
    <w:r>
      <w:rPr>
        <w:sz w:val="20"/>
        <w:szCs w:val="20"/>
      </w:rPr>
      <w:tab/>
    </w:r>
    <w:r>
      <w:rPr>
        <w:sz w:val="20"/>
        <w:szCs w:val="20"/>
      </w:rPr>
      <w:tab/>
    </w:r>
    <w:r w:rsidR="009468B2">
      <w:rPr>
        <w:sz w:val="20"/>
        <w:szCs w:val="20"/>
      </w:rPr>
      <w:t>Kevin Mahoney</w:t>
    </w:r>
  </w:p>
  <w:p w:rsidR="007222A1" w:rsidRPr="00B6710F" w:rsidRDefault="007222A1" w:rsidP="00D454A6">
    <w:pPr>
      <w:pStyle w:val="Header"/>
      <w:jc w:val="right"/>
      <w:rPr>
        <w:sz w:val="20"/>
        <w:szCs w:val="20"/>
      </w:rPr>
    </w:pPr>
    <w:r w:rsidRPr="00B6710F">
      <w:rPr>
        <w:sz w:val="20"/>
        <w:szCs w:val="20"/>
      </w:rPr>
      <w:t>562.590.5550 phone</w:t>
    </w:r>
  </w:p>
  <w:p w:rsidR="007222A1" w:rsidRPr="00B6710F" w:rsidRDefault="007222A1" w:rsidP="00D454A6">
    <w:pPr>
      <w:pStyle w:val="Header"/>
      <w:jc w:val="right"/>
      <w:rPr>
        <w:sz w:val="20"/>
        <w:szCs w:val="20"/>
      </w:rPr>
    </w:pPr>
    <w:r w:rsidRPr="00B6710F">
      <w:rPr>
        <w:sz w:val="20"/>
        <w:szCs w:val="20"/>
      </w:rPr>
      <w:t>562.590.8400 facsimile</w:t>
    </w:r>
  </w:p>
  <w:p w:rsidR="007222A1" w:rsidRPr="000A14FE" w:rsidRDefault="00B6710F" w:rsidP="00D454A6">
    <w:pPr>
      <w:pStyle w:val="Header"/>
      <w:jc w:val="right"/>
      <w:rPr>
        <w:sz w:val="20"/>
        <w:szCs w:val="20"/>
      </w:rPr>
    </w:pPr>
    <w:r w:rsidRPr="00B6710F">
      <w:rPr>
        <w:sz w:val="20"/>
        <w:szCs w:val="20"/>
      </w:rPr>
      <w:t>kmahoney</w:t>
    </w:r>
    <w:r w:rsidR="007222A1" w:rsidRPr="00B6710F">
      <w:rPr>
        <w:sz w:val="20"/>
        <w:szCs w:val="20"/>
      </w:rPr>
      <w:t>@mahoney-law.net</w:t>
    </w:r>
  </w:p>
  <w:p w:rsidR="007222A1" w:rsidRDefault="007222A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98F22902"/>
    <w:lvl w:ilvl="0">
      <w:start w:val="1"/>
      <w:numFmt w:val="bullet"/>
      <w:pStyle w:val="ListBullet"/>
      <w:lvlText w:val=""/>
      <w:lvlJc w:val="left"/>
      <w:pPr>
        <w:tabs>
          <w:tab w:val="num" w:pos="360"/>
        </w:tabs>
        <w:ind w:left="360" w:hanging="360"/>
      </w:pPr>
      <w:rPr>
        <w:rFonts w:ascii="Symbol" w:hAnsi="Symbol" w:cs="Symbol" w:hint="default"/>
      </w:rPr>
    </w:lvl>
  </w:abstractNum>
  <w:abstractNum w:abstractNumId="1" w15:restartNumberingAfterBreak="0">
    <w:nsid w:val="16F859C4"/>
    <w:multiLevelType w:val="multilevel"/>
    <w:tmpl w:val="2B8AA938"/>
    <w:name w:val="zzmpPleading1||Pleading1|2|5|1|1|4|41||1|4|33||1|4|33||1|4|33||1|4|33||1|4|32||1|4|32||1|4|32||1|4|32||"/>
    <w:lvl w:ilvl="0">
      <w:start w:val="1"/>
      <w:numFmt w:val="upperRoman"/>
      <w:pStyle w:val="Pleading1L1"/>
      <w:lvlText w:val="%1."/>
      <w:lvlJc w:val="left"/>
      <w:pPr>
        <w:tabs>
          <w:tab w:val="num" w:pos="720"/>
        </w:tabs>
        <w:ind w:left="720" w:hanging="720"/>
      </w:pPr>
      <w:rPr>
        <w:rFonts w:ascii="Times New Roman" w:hAnsi="Times New Roman" w:cs="Times New Roman"/>
        <w:b/>
        <w:bCs/>
        <w:i w:val="0"/>
        <w:iCs w:val="0"/>
        <w:caps w:val="0"/>
        <w:smallCaps w:val="0"/>
        <w:strike w:val="0"/>
        <w:dstrike w:val="0"/>
        <w:vanish w:val="0"/>
        <w:color w:val="00000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Pleading1L2"/>
      <w:lvlText w:val="%2."/>
      <w:lvlJc w:val="left"/>
      <w:pPr>
        <w:tabs>
          <w:tab w:val="num" w:pos="1440"/>
        </w:tabs>
        <w:ind w:left="1440" w:hanging="720"/>
      </w:pPr>
      <w:rPr>
        <w:rFonts w:ascii="Times New Roman" w:hAnsi="Times New Roman" w:cs="Times New Roman"/>
        <w:b/>
        <w:bCs/>
        <w:i w:val="0"/>
        <w:iCs w:val="0"/>
        <w:caps w:val="0"/>
        <w:smallCaps w:val="0"/>
        <w:strike w:val="0"/>
        <w:dstrike w:val="0"/>
        <w:vanish w:val="0"/>
        <w:color w:val="00000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Pleading1L3"/>
      <w:lvlText w:val="%3."/>
      <w:lvlJc w:val="left"/>
      <w:pPr>
        <w:tabs>
          <w:tab w:val="num" w:pos="2160"/>
        </w:tabs>
        <w:ind w:left="2160" w:hanging="720"/>
      </w:pPr>
      <w:rPr>
        <w:rFonts w:ascii="Times New Roman" w:hAnsi="Times New Roman" w:cs="Times New Roman"/>
        <w:b/>
        <w:bCs/>
        <w:i w:val="0"/>
        <w:iCs w:val="0"/>
        <w:caps w:val="0"/>
        <w:smallCaps w:val="0"/>
        <w:strike w:val="0"/>
        <w:dstrike w:val="0"/>
        <w:vanish w:val="0"/>
        <w:color w:val="00000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Pleading1L4"/>
      <w:lvlText w:val="%4."/>
      <w:lvlJc w:val="left"/>
      <w:pPr>
        <w:tabs>
          <w:tab w:val="num" w:pos="2880"/>
        </w:tabs>
        <w:ind w:left="2880" w:hanging="720"/>
      </w:pPr>
      <w:rPr>
        <w:rFonts w:ascii="Times New Roman" w:hAnsi="Times New Roman" w:cs="Times New Roman"/>
        <w:b/>
        <w:bCs/>
        <w:i w:val="0"/>
        <w:iCs w:val="0"/>
        <w:caps w:val="0"/>
        <w:smallCaps w:val="0"/>
        <w:strike w:val="0"/>
        <w:dstrike w:val="0"/>
        <w:vanish w:val="0"/>
        <w:color w:val="00000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Pleading1L5"/>
      <w:lvlText w:val="(%5)"/>
      <w:lvlJc w:val="left"/>
      <w:pPr>
        <w:tabs>
          <w:tab w:val="num" w:pos="3600"/>
        </w:tabs>
        <w:ind w:left="3600" w:hanging="720"/>
      </w:pPr>
      <w:rPr>
        <w:rFonts w:ascii="Times New Roman" w:hAnsi="Times New Roman" w:cs="Times New Roman"/>
        <w:b/>
        <w:bCs/>
        <w:i w:val="0"/>
        <w:iCs w:val="0"/>
        <w:caps w:val="0"/>
        <w:smallCaps w:val="0"/>
        <w:strike w:val="0"/>
        <w:dstrike w:val="0"/>
        <w:vanish w:val="0"/>
        <w:color w:val="00000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pStyle w:val="Pleading1L6"/>
      <w:lvlText w:val="(%6)"/>
      <w:lvlJc w:val="left"/>
      <w:pPr>
        <w:tabs>
          <w:tab w:val="num" w:pos="4320"/>
        </w:tabs>
        <w:ind w:left="4320" w:hanging="720"/>
      </w:pPr>
      <w:rPr>
        <w:rFonts w:ascii="Times New Roman" w:hAnsi="Times New Roman" w:cs="Times New Roman"/>
        <w:b w:val="0"/>
        <w:bCs w:val="0"/>
        <w:i w:val="0"/>
        <w:iCs w:val="0"/>
        <w:caps w:val="0"/>
        <w:smallCaps w:val="0"/>
        <w:strike w:val="0"/>
        <w:dstrike w:val="0"/>
        <w:vanish w:val="0"/>
        <w:color w:val="00000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pStyle w:val="Pleading1L7"/>
      <w:lvlText w:val="(%7)"/>
      <w:lvlJc w:val="left"/>
      <w:pPr>
        <w:tabs>
          <w:tab w:val="num" w:pos="5040"/>
        </w:tabs>
        <w:ind w:left="5040" w:hanging="720"/>
      </w:pPr>
      <w:rPr>
        <w:rFonts w:ascii="Times New Roman" w:hAnsi="Times New Roman" w:cs="Times New Roman"/>
        <w:b w:val="0"/>
        <w:bCs w:val="0"/>
        <w:i w:val="0"/>
        <w:iCs w:val="0"/>
        <w:caps w:val="0"/>
        <w:smallCaps w:val="0"/>
        <w:strike w:val="0"/>
        <w:dstrike w:val="0"/>
        <w:vanish w:val="0"/>
        <w:color w:val="00000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pStyle w:val="Pleading1L8"/>
      <w:lvlText w:val="%8)"/>
      <w:lvlJc w:val="left"/>
      <w:pPr>
        <w:tabs>
          <w:tab w:val="num" w:pos="5760"/>
        </w:tabs>
        <w:ind w:left="5760" w:hanging="720"/>
      </w:pPr>
      <w:rPr>
        <w:rFonts w:ascii="Times New Roman" w:hAnsi="Times New Roman" w:cs="Times New Roman"/>
        <w:b w:val="0"/>
        <w:bCs w:val="0"/>
        <w:i w:val="0"/>
        <w:iCs w:val="0"/>
        <w:caps w:val="0"/>
        <w:smallCaps w:val="0"/>
        <w:strike w:val="0"/>
        <w:dstrike w:val="0"/>
        <w:vanish w:val="0"/>
        <w:color w:val="00000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pStyle w:val="Pleading1L9"/>
      <w:lvlText w:val="%9)"/>
      <w:lvlJc w:val="left"/>
      <w:pPr>
        <w:tabs>
          <w:tab w:val="num" w:pos="6480"/>
        </w:tabs>
        <w:ind w:left="6480" w:hanging="720"/>
      </w:pPr>
      <w:rPr>
        <w:rFonts w:ascii="Times New Roman" w:hAnsi="Times New Roman" w:cs="Times New Roman"/>
        <w:b w:val="0"/>
        <w:bCs w:val="0"/>
        <w:i w:val="0"/>
        <w:iCs w:val="0"/>
        <w:caps w:val="0"/>
        <w:smallCaps w:val="0"/>
        <w:strike w:val="0"/>
        <w:dstrike w:val="0"/>
        <w:vanish w:val="0"/>
        <w:color w:val="000000"/>
        <w:u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num w:numId="1">
    <w:abstractNumId w:val="0"/>
  </w:num>
  <w:num w:numId="2">
    <w:abstractNumId w:val="0"/>
  </w:num>
  <w:num w:numId="3">
    <w:abstractNumId w:val="0"/>
  </w:num>
  <w:num w:numId="4">
    <w:abstractNumId w:val="0"/>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embedSystemFonts/>
  <w:proofState w:spelling="clean" w:grammar="clean"/>
  <w:defaultTabStop w:val="720"/>
  <w:drawingGridHorizontalSpacing w:val="110"/>
  <w:displayHorizontalDrawingGridEvery w:val="2"/>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59FD"/>
    <w:rsid w:val="00002BBB"/>
    <w:rsid w:val="0001736F"/>
    <w:rsid w:val="00024B75"/>
    <w:rsid w:val="00037596"/>
    <w:rsid w:val="00042DB7"/>
    <w:rsid w:val="00044E87"/>
    <w:rsid w:val="000477C9"/>
    <w:rsid w:val="0005610B"/>
    <w:rsid w:val="0006007B"/>
    <w:rsid w:val="00065017"/>
    <w:rsid w:val="000A14FE"/>
    <w:rsid w:val="000B08BC"/>
    <w:rsid w:val="000B4082"/>
    <w:rsid w:val="000C0E7A"/>
    <w:rsid w:val="000C5994"/>
    <w:rsid w:val="000D189D"/>
    <w:rsid w:val="000F2DBD"/>
    <w:rsid w:val="00121904"/>
    <w:rsid w:val="0014239C"/>
    <w:rsid w:val="00146666"/>
    <w:rsid w:val="00155E05"/>
    <w:rsid w:val="00166025"/>
    <w:rsid w:val="0017498C"/>
    <w:rsid w:val="001816CB"/>
    <w:rsid w:val="00191050"/>
    <w:rsid w:val="001910E9"/>
    <w:rsid w:val="001961D8"/>
    <w:rsid w:val="00197FD5"/>
    <w:rsid w:val="001B51F4"/>
    <w:rsid w:val="001C1400"/>
    <w:rsid w:val="001D54FD"/>
    <w:rsid w:val="001E3603"/>
    <w:rsid w:val="001F1005"/>
    <w:rsid w:val="001F3503"/>
    <w:rsid w:val="00201F20"/>
    <w:rsid w:val="00210445"/>
    <w:rsid w:val="002162EB"/>
    <w:rsid w:val="00217D29"/>
    <w:rsid w:val="0022617F"/>
    <w:rsid w:val="00237951"/>
    <w:rsid w:val="00243B11"/>
    <w:rsid w:val="00246EE7"/>
    <w:rsid w:val="002548B2"/>
    <w:rsid w:val="00263275"/>
    <w:rsid w:val="00266ECB"/>
    <w:rsid w:val="00273135"/>
    <w:rsid w:val="00275414"/>
    <w:rsid w:val="00275972"/>
    <w:rsid w:val="002778D8"/>
    <w:rsid w:val="00281E47"/>
    <w:rsid w:val="00282B5A"/>
    <w:rsid w:val="0029383A"/>
    <w:rsid w:val="002938B7"/>
    <w:rsid w:val="002B0658"/>
    <w:rsid w:val="002B5C4B"/>
    <w:rsid w:val="002D3A1F"/>
    <w:rsid w:val="002D6F88"/>
    <w:rsid w:val="002F7C06"/>
    <w:rsid w:val="00304852"/>
    <w:rsid w:val="00314EE5"/>
    <w:rsid w:val="003234BF"/>
    <w:rsid w:val="00323616"/>
    <w:rsid w:val="00354BB4"/>
    <w:rsid w:val="003550CE"/>
    <w:rsid w:val="00377F5C"/>
    <w:rsid w:val="00396DC0"/>
    <w:rsid w:val="003C3D2B"/>
    <w:rsid w:val="003D4E90"/>
    <w:rsid w:val="003F1047"/>
    <w:rsid w:val="00400C01"/>
    <w:rsid w:val="00402B28"/>
    <w:rsid w:val="00444C86"/>
    <w:rsid w:val="004615B5"/>
    <w:rsid w:val="00472CDF"/>
    <w:rsid w:val="004A34F1"/>
    <w:rsid w:val="004A7CD2"/>
    <w:rsid w:val="00524F11"/>
    <w:rsid w:val="00531835"/>
    <w:rsid w:val="005319CF"/>
    <w:rsid w:val="00533949"/>
    <w:rsid w:val="00535BCF"/>
    <w:rsid w:val="00536CEE"/>
    <w:rsid w:val="00544D21"/>
    <w:rsid w:val="00544DE9"/>
    <w:rsid w:val="00546C5B"/>
    <w:rsid w:val="005715A5"/>
    <w:rsid w:val="00577063"/>
    <w:rsid w:val="005775AF"/>
    <w:rsid w:val="00590433"/>
    <w:rsid w:val="00596871"/>
    <w:rsid w:val="00597D9D"/>
    <w:rsid w:val="005A32B1"/>
    <w:rsid w:val="005A74B4"/>
    <w:rsid w:val="005B5630"/>
    <w:rsid w:val="005D2F08"/>
    <w:rsid w:val="005E424C"/>
    <w:rsid w:val="005E6743"/>
    <w:rsid w:val="005E712C"/>
    <w:rsid w:val="005F6DF8"/>
    <w:rsid w:val="00602B4C"/>
    <w:rsid w:val="0064081D"/>
    <w:rsid w:val="00640FEA"/>
    <w:rsid w:val="00664BA4"/>
    <w:rsid w:val="00674BF5"/>
    <w:rsid w:val="00674D97"/>
    <w:rsid w:val="00675AB1"/>
    <w:rsid w:val="00676FAA"/>
    <w:rsid w:val="006830ED"/>
    <w:rsid w:val="00687620"/>
    <w:rsid w:val="00697E8F"/>
    <w:rsid w:val="006C3BBF"/>
    <w:rsid w:val="006D6647"/>
    <w:rsid w:val="0070245A"/>
    <w:rsid w:val="007112B1"/>
    <w:rsid w:val="00712CA6"/>
    <w:rsid w:val="007222A1"/>
    <w:rsid w:val="0072362D"/>
    <w:rsid w:val="00727C24"/>
    <w:rsid w:val="00735B9D"/>
    <w:rsid w:val="00740C05"/>
    <w:rsid w:val="007443F4"/>
    <w:rsid w:val="00751429"/>
    <w:rsid w:val="0075424D"/>
    <w:rsid w:val="00764CE4"/>
    <w:rsid w:val="007822D2"/>
    <w:rsid w:val="00783F29"/>
    <w:rsid w:val="00790B44"/>
    <w:rsid w:val="007A12F1"/>
    <w:rsid w:val="007C7640"/>
    <w:rsid w:val="007D2915"/>
    <w:rsid w:val="007E461E"/>
    <w:rsid w:val="007E4DDA"/>
    <w:rsid w:val="007F6C68"/>
    <w:rsid w:val="00815D35"/>
    <w:rsid w:val="00824113"/>
    <w:rsid w:val="00827387"/>
    <w:rsid w:val="00831B77"/>
    <w:rsid w:val="00837540"/>
    <w:rsid w:val="00842AA4"/>
    <w:rsid w:val="008504EB"/>
    <w:rsid w:val="008740AB"/>
    <w:rsid w:val="00877772"/>
    <w:rsid w:val="00887C43"/>
    <w:rsid w:val="00891FA7"/>
    <w:rsid w:val="008A2379"/>
    <w:rsid w:val="008A260F"/>
    <w:rsid w:val="008A6F59"/>
    <w:rsid w:val="008B2C85"/>
    <w:rsid w:val="008B4A99"/>
    <w:rsid w:val="008C4B66"/>
    <w:rsid w:val="008D15CE"/>
    <w:rsid w:val="008E54BE"/>
    <w:rsid w:val="008F19B5"/>
    <w:rsid w:val="008F7824"/>
    <w:rsid w:val="0093066C"/>
    <w:rsid w:val="00941CC9"/>
    <w:rsid w:val="009434FB"/>
    <w:rsid w:val="009468B2"/>
    <w:rsid w:val="00966623"/>
    <w:rsid w:val="00967CA7"/>
    <w:rsid w:val="009760C1"/>
    <w:rsid w:val="00980C19"/>
    <w:rsid w:val="009905F6"/>
    <w:rsid w:val="009939D8"/>
    <w:rsid w:val="009979B6"/>
    <w:rsid w:val="009A0783"/>
    <w:rsid w:val="009A10C3"/>
    <w:rsid w:val="009B06AB"/>
    <w:rsid w:val="009C6B1D"/>
    <w:rsid w:val="009D6934"/>
    <w:rsid w:val="00A054D3"/>
    <w:rsid w:val="00A059FD"/>
    <w:rsid w:val="00A34043"/>
    <w:rsid w:val="00A41EBB"/>
    <w:rsid w:val="00A575CD"/>
    <w:rsid w:val="00A83B4A"/>
    <w:rsid w:val="00A83B8D"/>
    <w:rsid w:val="00A914E6"/>
    <w:rsid w:val="00A91DC8"/>
    <w:rsid w:val="00AB33CC"/>
    <w:rsid w:val="00AB7758"/>
    <w:rsid w:val="00AC2926"/>
    <w:rsid w:val="00AD1B31"/>
    <w:rsid w:val="00AE09FD"/>
    <w:rsid w:val="00B25585"/>
    <w:rsid w:val="00B25944"/>
    <w:rsid w:val="00B32837"/>
    <w:rsid w:val="00B332D0"/>
    <w:rsid w:val="00B3799F"/>
    <w:rsid w:val="00B50E14"/>
    <w:rsid w:val="00B54B8B"/>
    <w:rsid w:val="00B65FB5"/>
    <w:rsid w:val="00B6710F"/>
    <w:rsid w:val="00B72E5C"/>
    <w:rsid w:val="00B852AD"/>
    <w:rsid w:val="00B93910"/>
    <w:rsid w:val="00B95DAC"/>
    <w:rsid w:val="00B97F44"/>
    <w:rsid w:val="00BB368C"/>
    <w:rsid w:val="00BC2635"/>
    <w:rsid w:val="00BC64F0"/>
    <w:rsid w:val="00BE02B9"/>
    <w:rsid w:val="00BF5488"/>
    <w:rsid w:val="00C01095"/>
    <w:rsid w:val="00C064EF"/>
    <w:rsid w:val="00C06C53"/>
    <w:rsid w:val="00C06F03"/>
    <w:rsid w:val="00C14E2A"/>
    <w:rsid w:val="00C151BA"/>
    <w:rsid w:val="00C165BE"/>
    <w:rsid w:val="00C16C8B"/>
    <w:rsid w:val="00C25474"/>
    <w:rsid w:val="00C45415"/>
    <w:rsid w:val="00C612B8"/>
    <w:rsid w:val="00C73FFB"/>
    <w:rsid w:val="00C80B69"/>
    <w:rsid w:val="00C85E49"/>
    <w:rsid w:val="00CB71D8"/>
    <w:rsid w:val="00CC4995"/>
    <w:rsid w:val="00CD13F7"/>
    <w:rsid w:val="00CD1A46"/>
    <w:rsid w:val="00CF56CF"/>
    <w:rsid w:val="00CF7C99"/>
    <w:rsid w:val="00D159B2"/>
    <w:rsid w:val="00D4528B"/>
    <w:rsid w:val="00D454A6"/>
    <w:rsid w:val="00D76B83"/>
    <w:rsid w:val="00D76EB4"/>
    <w:rsid w:val="00D815AB"/>
    <w:rsid w:val="00D85375"/>
    <w:rsid w:val="00D91087"/>
    <w:rsid w:val="00DA2186"/>
    <w:rsid w:val="00DC1C79"/>
    <w:rsid w:val="00DC2BC7"/>
    <w:rsid w:val="00DD077E"/>
    <w:rsid w:val="00DD2389"/>
    <w:rsid w:val="00DE5BF5"/>
    <w:rsid w:val="00DF49C5"/>
    <w:rsid w:val="00E27CC5"/>
    <w:rsid w:val="00E4289C"/>
    <w:rsid w:val="00E45FB5"/>
    <w:rsid w:val="00E563D2"/>
    <w:rsid w:val="00E62C90"/>
    <w:rsid w:val="00E65D22"/>
    <w:rsid w:val="00E848AF"/>
    <w:rsid w:val="00E86622"/>
    <w:rsid w:val="00E9078F"/>
    <w:rsid w:val="00E91B7D"/>
    <w:rsid w:val="00EB27FB"/>
    <w:rsid w:val="00EC034E"/>
    <w:rsid w:val="00ED111B"/>
    <w:rsid w:val="00ED1C0D"/>
    <w:rsid w:val="00EE3BF3"/>
    <w:rsid w:val="00EF79CC"/>
    <w:rsid w:val="00F016AE"/>
    <w:rsid w:val="00F02DAA"/>
    <w:rsid w:val="00F12931"/>
    <w:rsid w:val="00F3067D"/>
    <w:rsid w:val="00F37597"/>
    <w:rsid w:val="00F43ED6"/>
    <w:rsid w:val="00F60642"/>
    <w:rsid w:val="00F737F3"/>
    <w:rsid w:val="00F74E23"/>
    <w:rsid w:val="00F7668F"/>
    <w:rsid w:val="00F872C6"/>
    <w:rsid w:val="00FB68A8"/>
    <w:rsid w:val="00FC167E"/>
    <w:rsid w:val="00FC1AA4"/>
    <w:rsid w:val="00FE01DB"/>
    <w:rsid w:val="00FE6694"/>
    <w:rsid w:val="00FF75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5:docId w15:val="{9F2F2653-E7B1-469C-A059-86DC9F77F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059FD"/>
    <w:pPr>
      <w:spacing w:after="200" w:line="276" w:lineRule="auto"/>
    </w:pPr>
    <w:rPr>
      <w:rFonts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A059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59FD"/>
    <w:rPr>
      <w:rFonts w:ascii="Calibri" w:hAnsi="Calibri" w:cs="Calibri"/>
    </w:rPr>
  </w:style>
  <w:style w:type="paragraph" w:styleId="Footer">
    <w:name w:val="footer"/>
    <w:basedOn w:val="Normal"/>
    <w:link w:val="FooterChar"/>
    <w:uiPriority w:val="99"/>
    <w:semiHidden/>
    <w:rsid w:val="00A059F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059FD"/>
    <w:rPr>
      <w:rFonts w:ascii="Calibri" w:hAnsi="Calibri" w:cs="Calibri"/>
    </w:rPr>
  </w:style>
  <w:style w:type="paragraph" w:styleId="BalloonText">
    <w:name w:val="Balloon Text"/>
    <w:basedOn w:val="Normal"/>
    <w:link w:val="BalloonTextChar"/>
    <w:uiPriority w:val="99"/>
    <w:semiHidden/>
    <w:rsid w:val="00A059F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59FD"/>
    <w:rPr>
      <w:rFonts w:ascii="Tahoma" w:hAnsi="Tahoma" w:cs="Tahoma"/>
      <w:sz w:val="16"/>
      <w:szCs w:val="16"/>
    </w:rPr>
  </w:style>
  <w:style w:type="character" w:customStyle="1" w:styleId="Normal1">
    <w:name w:val="Normal1"/>
    <w:uiPriority w:val="99"/>
    <w:rsid w:val="0017498C"/>
    <w:rPr>
      <w:rFonts w:ascii="Arial Narrow" w:hAnsi="Arial Narrow" w:cs="Arial Narrow"/>
      <w:color w:val="000000"/>
      <w:sz w:val="24"/>
      <w:szCs w:val="24"/>
      <w:lang w:val="en-US"/>
    </w:rPr>
  </w:style>
  <w:style w:type="paragraph" w:customStyle="1" w:styleId="FormText">
    <w:name w:val="Form Text"/>
    <w:aliases w:val="no indt,+spc"/>
    <w:uiPriority w:val="99"/>
    <w:rsid w:val="0017498C"/>
    <w:pPr>
      <w:overflowPunct w:val="0"/>
      <w:autoSpaceDE w:val="0"/>
      <w:autoSpaceDN w:val="0"/>
      <w:adjustRightInd w:val="0"/>
      <w:spacing w:line="250" w:lineRule="atLeast"/>
      <w:jc w:val="both"/>
      <w:textAlignment w:val="baseline"/>
    </w:pPr>
    <w:rPr>
      <w:rFonts w:ascii="Arial Narrow" w:eastAsia="Times New Roman" w:hAnsi="Arial Narrow" w:cs="Arial Narrow"/>
      <w:color w:val="000000"/>
      <w:sz w:val="20"/>
      <w:szCs w:val="20"/>
    </w:rPr>
  </w:style>
  <w:style w:type="paragraph" w:customStyle="1" w:styleId="FormTextspc">
    <w:name w:val="Form Text +spc"/>
    <w:uiPriority w:val="99"/>
    <w:rsid w:val="0017498C"/>
    <w:pPr>
      <w:overflowPunct w:val="0"/>
      <w:autoSpaceDE w:val="0"/>
      <w:autoSpaceDN w:val="0"/>
      <w:adjustRightInd w:val="0"/>
      <w:spacing w:before="120" w:line="250" w:lineRule="atLeast"/>
      <w:ind w:firstLine="240"/>
      <w:jc w:val="both"/>
      <w:textAlignment w:val="baseline"/>
    </w:pPr>
    <w:rPr>
      <w:rFonts w:ascii="Arial Narrow" w:eastAsia="Times New Roman" w:hAnsi="Arial Narrow" w:cs="Arial Narrow"/>
      <w:color w:val="000000"/>
      <w:sz w:val="20"/>
      <w:szCs w:val="20"/>
    </w:rPr>
  </w:style>
  <w:style w:type="paragraph" w:customStyle="1" w:styleId="FormBullet1">
    <w:name w:val="Form Bullet 1"/>
    <w:uiPriority w:val="99"/>
    <w:rsid w:val="0017498C"/>
    <w:pPr>
      <w:overflowPunct w:val="0"/>
      <w:autoSpaceDE w:val="0"/>
      <w:autoSpaceDN w:val="0"/>
      <w:adjustRightInd w:val="0"/>
      <w:spacing w:line="250" w:lineRule="atLeast"/>
      <w:ind w:left="360" w:hanging="360"/>
      <w:jc w:val="both"/>
      <w:textAlignment w:val="baseline"/>
    </w:pPr>
    <w:rPr>
      <w:rFonts w:ascii="Arial Narrow" w:eastAsia="Times New Roman" w:hAnsi="Arial Narrow" w:cs="Arial Narrow"/>
      <w:color w:val="000000"/>
      <w:sz w:val="20"/>
      <w:szCs w:val="20"/>
    </w:rPr>
  </w:style>
  <w:style w:type="paragraph" w:customStyle="1" w:styleId="FormSignature">
    <w:name w:val="Form Signature"/>
    <w:uiPriority w:val="99"/>
    <w:rsid w:val="00377F5C"/>
    <w:pPr>
      <w:tabs>
        <w:tab w:val="left" w:pos="240"/>
        <w:tab w:val="left" w:pos="5280"/>
        <w:tab w:val="right" w:leader="underscore" w:pos="8640"/>
      </w:tabs>
      <w:overflowPunct w:val="0"/>
      <w:autoSpaceDE w:val="0"/>
      <w:autoSpaceDN w:val="0"/>
      <w:adjustRightInd w:val="0"/>
      <w:spacing w:line="250" w:lineRule="atLeast"/>
      <w:jc w:val="both"/>
      <w:textAlignment w:val="baseline"/>
    </w:pPr>
    <w:rPr>
      <w:rFonts w:ascii="Arial Narrow" w:eastAsia="Times New Roman" w:hAnsi="Arial Narrow" w:cs="Arial Narrow"/>
      <w:color w:val="000000"/>
      <w:sz w:val="20"/>
      <w:szCs w:val="20"/>
    </w:rPr>
  </w:style>
  <w:style w:type="paragraph" w:styleId="ListBullet">
    <w:name w:val="List Bullet"/>
    <w:basedOn w:val="Normal"/>
    <w:uiPriority w:val="99"/>
    <w:rsid w:val="00377F5C"/>
    <w:pPr>
      <w:widowControl w:val="0"/>
      <w:numPr>
        <w:numId w:val="2"/>
      </w:numPr>
      <w:autoSpaceDE w:val="0"/>
      <w:autoSpaceDN w:val="0"/>
      <w:adjustRightInd w:val="0"/>
      <w:spacing w:after="0"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99"/>
    <w:semiHidden/>
    <w:rsid w:val="00D815AB"/>
    <w:pPr>
      <w:widowControl w:val="0"/>
      <w:spacing w:after="0" w:line="480" w:lineRule="exact"/>
      <w:ind w:firstLine="1440"/>
      <w:jc w:val="both"/>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semiHidden/>
    <w:rsid w:val="00D815AB"/>
    <w:rPr>
      <w:rFonts w:ascii="Times New Roman" w:hAnsi="Times New Roman" w:cs="Times New Roman"/>
      <w:sz w:val="20"/>
      <w:szCs w:val="20"/>
    </w:rPr>
  </w:style>
  <w:style w:type="paragraph" w:customStyle="1" w:styleId="Pleading1L1">
    <w:name w:val="Pleading1_L1"/>
    <w:basedOn w:val="Normal"/>
    <w:next w:val="BodyText"/>
    <w:uiPriority w:val="99"/>
    <w:rsid w:val="00CC4995"/>
    <w:pPr>
      <w:keepNext/>
      <w:keepLines/>
      <w:widowControl w:val="0"/>
      <w:numPr>
        <w:numId w:val="6"/>
      </w:numPr>
      <w:spacing w:before="240" w:after="0" w:line="240" w:lineRule="exact"/>
      <w:jc w:val="both"/>
      <w:outlineLvl w:val="0"/>
    </w:pPr>
    <w:rPr>
      <w:rFonts w:ascii="Times New Roman" w:eastAsia="Times New Roman" w:hAnsi="Times New Roman" w:cs="Times New Roman"/>
      <w:b/>
      <w:bCs/>
      <w:caps/>
      <w:sz w:val="24"/>
      <w:szCs w:val="24"/>
    </w:rPr>
  </w:style>
  <w:style w:type="paragraph" w:customStyle="1" w:styleId="Pleading1L2">
    <w:name w:val="Pleading1_L2"/>
    <w:basedOn w:val="Pleading1L1"/>
    <w:next w:val="BodyText"/>
    <w:uiPriority w:val="99"/>
    <w:rsid w:val="00CC4995"/>
    <w:pPr>
      <w:numPr>
        <w:ilvl w:val="1"/>
      </w:numPr>
      <w:ind w:hanging="360"/>
      <w:outlineLvl w:val="1"/>
    </w:pPr>
    <w:rPr>
      <w:caps w:val="0"/>
    </w:rPr>
  </w:style>
  <w:style w:type="paragraph" w:customStyle="1" w:styleId="Pleading1L3">
    <w:name w:val="Pleading1_L3"/>
    <w:basedOn w:val="Pleading1L2"/>
    <w:next w:val="BodyText"/>
    <w:uiPriority w:val="99"/>
    <w:rsid w:val="00CC4995"/>
    <w:pPr>
      <w:numPr>
        <w:ilvl w:val="2"/>
      </w:numPr>
      <w:ind w:hanging="360"/>
      <w:outlineLvl w:val="2"/>
    </w:pPr>
  </w:style>
  <w:style w:type="paragraph" w:customStyle="1" w:styleId="Pleading1L4">
    <w:name w:val="Pleading1_L4"/>
    <w:basedOn w:val="Pleading1L3"/>
    <w:next w:val="BodyText"/>
    <w:uiPriority w:val="99"/>
    <w:rsid w:val="00CC4995"/>
    <w:pPr>
      <w:numPr>
        <w:ilvl w:val="3"/>
      </w:numPr>
      <w:ind w:hanging="360"/>
      <w:outlineLvl w:val="3"/>
    </w:pPr>
  </w:style>
  <w:style w:type="paragraph" w:customStyle="1" w:styleId="Pleading1L5">
    <w:name w:val="Pleading1_L5"/>
    <w:basedOn w:val="Pleading1L4"/>
    <w:next w:val="BodyText"/>
    <w:uiPriority w:val="99"/>
    <w:rsid w:val="00CC4995"/>
    <w:pPr>
      <w:numPr>
        <w:ilvl w:val="4"/>
      </w:numPr>
      <w:ind w:hanging="360"/>
      <w:outlineLvl w:val="4"/>
    </w:pPr>
  </w:style>
  <w:style w:type="paragraph" w:customStyle="1" w:styleId="Pleading1L6">
    <w:name w:val="Pleading1_L6"/>
    <w:basedOn w:val="Pleading1L5"/>
    <w:next w:val="BodyText"/>
    <w:uiPriority w:val="99"/>
    <w:rsid w:val="00CC4995"/>
    <w:pPr>
      <w:numPr>
        <w:ilvl w:val="5"/>
      </w:numPr>
      <w:ind w:hanging="360"/>
      <w:outlineLvl w:val="5"/>
    </w:pPr>
    <w:rPr>
      <w:b w:val="0"/>
      <w:bCs w:val="0"/>
    </w:rPr>
  </w:style>
  <w:style w:type="paragraph" w:customStyle="1" w:styleId="Pleading1L7">
    <w:name w:val="Pleading1_L7"/>
    <w:basedOn w:val="Pleading1L6"/>
    <w:next w:val="BodyText"/>
    <w:uiPriority w:val="99"/>
    <w:rsid w:val="00CC4995"/>
    <w:pPr>
      <w:numPr>
        <w:ilvl w:val="6"/>
      </w:numPr>
      <w:ind w:hanging="360"/>
      <w:outlineLvl w:val="6"/>
    </w:pPr>
  </w:style>
  <w:style w:type="paragraph" w:customStyle="1" w:styleId="Pleading1L8">
    <w:name w:val="Pleading1_L8"/>
    <w:basedOn w:val="Pleading1L7"/>
    <w:next w:val="BodyText"/>
    <w:uiPriority w:val="99"/>
    <w:rsid w:val="00CC4995"/>
    <w:pPr>
      <w:numPr>
        <w:ilvl w:val="7"/>
      </w:numPr>
      <w:ind w:hanging="360"/>
      <w:outlineLvl w:val="7"/>
    </w:pPr>
  </w:style>
  <w:style w:type="paragraph" w:customStyle="1" w:styleId="Pleading1L9">
    <w:name w:val="Pleading1_L9"/>
    <w:basedOn w:val="Pleading1L8"/>
    <w:next w:val="BodyText"/>
    <w:uiPriority w:val="99"/>
    <w:rsid w:val="00CC4995"/>
    <w:pPr>
      <w:numPr>
        <w:ilvl w:val="8"/>
      </w:numPr>
      <w:ind w:hanging="360"/>
      <w:outlineLvl w:val="8"/>
    </w:pPr>
  </w:style>
  <w:style w:type="paragraph" w:styleId="FootnoteText">
    <w:name w:val="footnote text"/>
    <w:basedOn w:val="Normal"/>
    <w:link w:val="FootnoteTextChar"/>
    <w:uiPriority w:val="99"/>
    <w:semiHidden/>
    <w:rsid w:val="00CC4995"/>
    <w:pPr>
      <w:widowControl w:val="0"/>
      <w:spacing w:after="0" w:line="240" w:lineRule="exact"/>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uiPriority w:val="99"/>
    <w:semiHidden/>
    <w:rsid w:val="00CC4995"/>
    <w:rPr>
      <w:rFonts w:ascii="Times New Roman" w:hAnsi="Times New Roman" w:cs="Times New Roman"/>
      <w:sz w:val="20"/>
      <w:szCs w:val="20"/>
    </w:rPr>
  </w:style>
  <w:style w:type="character" w:styleId="FootnoteReference">
    <w:name w:val="footnote reference"/>
    <w:basedOn w:val="DefaultParagraphFont"/>
    <w:uiPriority w:val="99"/>
    <w:semiHidden/>
    <w:rsid w:val="00CC4995"/>
    <w:rPr>
      <w:vertAlign w:val="superscript"/>
    </w:rPr>
  </w:style>
  <w:style w:type="paragraph" w:styleId="BodyTextIndent">
    <w:name w:val="Body Text Indent"/>
    <w:basedOn w:val="Normal"/>
    <w:link w:val="BodyTextIndentChar"/>
    <w:uiPriority w:val="99"/>
    <w:semiHidden/>
    <w:unhideWhenUsed/>
    <w:rsid w:val="007222A1"/>
    <w:pPr>
      <w:spacing w:after="120"/>
      <w:ind w:left="360"/>
    </w:pPr>
    <w:rPr>
      <w:rFonts w:cs="Times New Roman"/>
    </w:rPr>
  </w:style>
  <w:style w:type="character" w:customStyle="1" w:styleId="BodyTextIndentChar">
    <w:name w:val="Body Text Indent Char"/>
    <w:basedOn w:val="DefaultParagraphFont"/>
    <w:link w:val="BodyTextIndent"/>
    <w:uiPriority w:val="99"/>
    <w:semiHidden/>
    <w:rsid w:val="007222A1"/>
  </w:style>
  <w:style w:type="character" w:styleId="Hyperlink">
    <w:name w:val="Hyperlink"/>
    <w:uiPriority w:val="99"/>
    <w:unhideWhenUsed/>
    <w:rsid w:val="009468B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9578626">
      <w:bodyDiv w:val="1"/>
      <w:marLeft w:val="0"/>
      <w:marRight w:val="0"/>
      <w:marTop w:val="0"/>
      <w:marBottom w:val="0"/>
      <w:divBdr>
        <w:top w:val="none" w:sz="0" w:space="0" w:color="auto"/>
        <w:left w:val="none" w:sz="0" w:space="0" w:color="auto"/>
        <w:bottom w:val="none" w:sz="0" w:space="0" w:color="auto"/>
        <w:right w:val="none" w:sz="0" w:space="0" w:color="auto"/>
      </w:divBdr>
    </w:div>
    <w:div w:id="1517692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john@jwharrislaw.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rodney@jwharrislaw.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B21A46-ED96-4CAF-A263-FDFB53E186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1210</Words>
  <Characters>6901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October 14, 2010</vt:lpstr>
    </vt:vector>
  </TitlesOfParts>
  <Company>Grizli777</Company>
  <LinksUpToDate>false</LinksUpToDate>
  <CharactersWithSpaces>8095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October 14, 2010</dc:title>
  <dc:creator>kmahoney</dc:creator>
  <cp:lastModifiedBy>Nicole Pierson</cp:lastModifiedBy>
  <cp:revision>2</cp:revision>
  <cp:lastPrinted>2016-07-19T01:21:00Z</cp:lastPrinted>
  <dcterms:created xsi:type="dcterms:W3CDTF">2016-07-19T17:14:00Z</dcterms:created>
  <dcterms:modified xsi:type="dcterms:W3CDTF">2016-07-19T17:14:00Z</dcterms:modified>
</cp:coreProperties>
</file>