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Broker Service Microservices Analysis Document</w:t>
      </w:r>
    </w:p>
    <w:p>
      <w:pPr>
        <w:pStyle w:val="Heading2"/>
      </w:pPr>
      <w:r>
        <w:t>1. Overview</w:t>
      </w:r>
    </w:p>
    <w:p>
      <w:r>
        <w:t>This document provides a detailed breakdown of the Broker Service into dedicated microservices, including their responsibilities, utilized fields, data sources, caches, and views. The content is based on Swagger API definitions and internal service design patterns.</w:t>
      </w:r>
    </w:p>
    <w:p>
      <w:pPr>
        <w:pStyle w:val="Heading2"/>
      </w:pPr>
      <w:r>
        <w:t>2. Microservices Breakdown</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New Microservice</w:t>
            </w:r>
          </w:p>
        </w:tc>
        <w:tc>
          <w:tcPr>
            <w:tcW w:type="dxa" w:w="1440"/>
          </w:tcPr>
          <w:p>
            <w:r>
              <w:t>Key Responsibility</w:t>
            </w:r>
          </w:p>
        </w:tc>
        <w:tc>
          <w:tcPr>
            <w:tcW w:type="dxa" w:w="1440"/>
          </w:tcPr>
          <w:p>
            <w:r>
              <w:t>View/Collection</w:t>
            </w:r>
          </w:p>
        </w:tc>
        <w:tc>
          <w:tcPr>
            <w:tcW w:type="dxa" w:w="1440"/>
          </w:tcPr>
          <w:p>
            <w:r>
              <w:t>Fields</w:t>
            </w:r>
          </w:p>
        </w:tc>
        <w:tc>
          <w:tcPr>
            <w:tcW w:type="dxa" w:w="1440"/>
          </w:tcPr>
          <w:p>
            <w:r>
              <w:t>Cache Key</w:t>
            </w:r>
          </w:p>
        </w:tc>
        <w:tc>
          <w:tcPr>
            <w:tcW w:type="dxa" w:w="1440"/>
          </w:tcPr>
          <w:p>
            <w:r>
              <w:t>Remarks</w:t>
            </w:r>
          </w:p>
        </w:tc>
      </w:tr>
      <w:tr>
        <w:tc>
          <w:tcPr>
            <w:tcW w:type="dxa" w:w="1440"/>
          </w:tcPr>
          <w:p>
            <w:r>
              <w:t>desk-broker-service</w:t>
            </w:r>
          </w:p>
        </w:tc>
        <w:tc>
          <w:tcPr>
            <w:tcW w:type="dxa" w:w="1440"/>
          </w:tcPr>
          <w:p>
            <w:r>
              <w:t>Desk-to-Broker permission mapping</w:t>
            </w:r>
          </w:p>
        </w:tc>
        <w:tc>
          <w:tcPr>
            <w:tcW w:type="dxa" w:w="1440"/>
          </w:tcPr>
          <w:p>
            <w:r>
              <w:t>desk_broker_permission_view</w:t>
            </w:r>
          </w:p>
        </w:tc>
        <w:tc>
          <w:tcPr>
            <w:tcW w:type="dxa" w:w="1440"/>
          </w:tcPr>
          <w:p>
            <w:r>
              <w:t>desk, brokerId, entitlementLevel</w:t>
            </w:r>
          </w:p>
        </w:tc>
        <w:tc>
          <w:tcPr>
            <w:tcW w:type="dxa" w:w="1440"/>
          </w:tcPr>
          <w:p>
            <w:r>
              <w:t>desk:{deskId}</w:t>
            </w:r>
          </w:p>
        </w:tc>
        <w:tc>
          <w:tcPr>
            <w:tcW w:type="dxa" w:w="1440"/>
          </w:tcPr>
          <w:p>
            <w:r>
              <w:t>Used in entitlement APIs</w:t>
            </w:r>
          </w:p>
        </w:tc>
      </w:tr>
      <w:tr>
        <w:tc>
          <w:tcPr>
            <w:tcW w:type="dxa" w:w="1440"/>
          </w:tcPr>
          <w:p>
            <w:r>
              <w:t>account-broker-service</w:t>
            </w:r>
          </w:p>
        </w:tc>
        <w:tc>
          <w:tcPr>
            <w:tcW w:type="dxa" w:w="1440"/>
          </w:tcPr>
          <w:p>
            <w:r>
              <w:t>Account-to-Broker mapping</w:t>
            </w:r>
          </w:p>
        </w:tc>
        <w:tc>
          <w:tcPr>
            <w:tcW w:type="dxa" w:w="1440"/>
          </w:tcPr>
          <w:p>
            <w:r>
              <w:t>account_permission_view</w:t>
            </w:r>
          </w:p>
        </w:tc>
        <w:tc>
          <w:tcPr>
            <w:tcW w:type="dxa" w:w="1440"/>
          </w:tcPr>
          <w:p>
            <w:r>
              <w:t>accountId, brokerId, role, status</w:t>
            </w:r>
          </w:p>
        </w:tc>
        <w:tc>
          <w:tcPr>
            <w:tcW w:type="dxa" w:w="1440"/>
          </w:tcPr>
          <w:p>
            <w:r>
              <w:t>account:{accountId}</w:t>
            </w:r>
          </w:p>
        </w:tc>
        <w:tc>
          <w:tcPr>
            <w:tcW w:type="dxa" w:w="1440"/>
          </w:tcPr>
          <w:p>
            <w:r>
              <w:t>High-volume access</w:t>
            </w:r>
          </w:p>
        </w:tc>
      </w:tr>
      <w:tr>
        <w:tc>
          <w:tcPr>
            <w:tcW w:type="dxa" w:w="1440"/>
          </w:tcPr>
          <w:p>
            <w:r>
              <w:t>product-entitlement-service</w:t>
            </w:r>
          </w:p>
        </w:tc>
        <w:tc>
          <w:tcPr>
            <w:tcW w:type="dxa" w:w="1440"/>
          </w:tcPr>
          <w:p>
            <w:r>
              <w:t>Broker’s entitlement per product</w:t>
            </w:r>
          </w:p>
        </w:tc>
        <w:tc>
          <w:tcPr>
            <w:tcW w:type="dxa" w:w="1440"/>
          </w:tcPr>
          <w:p>
            <w:r>
              <w:t>product_entitlement_view</w:t>
            </w:r>
          </w:p>
        </w:tc>
        <w:tc>
          <w:tcPr>
            <w:tcW w:type="dxa" w:w="1440"/>
          </w:tcPr>
          <w:p>
            <w:r>
              <w:t>brokerId, productCode, accessLevel</w:t>
            </w:r>
          </w:p>
        </w:tc>
        <w:tc>
          <w:tcPr>
            <w:tcW w:type="dxa" w:w="1440"/>
          </w:tcPr>
          <w:p>
            <w:r>
              <w:t>broker:{brokerId}</w:t>
            </w:r>
          </w:p>
        </w:tc>
        <w:tc>
          <w:tcPr>
            <w:tcW w:type="dxa" w:w="1440"/>
          </w:tcPr>
          <w:p>
            <w:r>
              <w:t>Used in UI dropdowns</w:t>
            </w:r>
          </w:p>
        </w:tc>
      </w:tr>
      <w:tr>
        <w:tc>
          <w:tcPr>
            <w:tcW w:type="dxa" w:w="1440"/>
          </w:tcPr>
          <w:p>
            <w:r>
              <w:t>role-config-service</w:t>
            </w:r>
          </w:p>
        </w:tc>
        <w:tc>
          <w:tcPr>
            <w:tcW w:type="dxa" w:w="1440"/>
          </w:tcPr>
          <w:p>
            <w:r>
              <w:t>Roles, feature access per broker</w:t>
            </w:r>
          </w:p>
        </w:tc>
        <w:tc>
          <w:tcPr>
            <w:tcW w:type="dxa" w:w="1440"/>
          </w:tcPr>
          <w:p>
            <w:r>
              <w:t>role_feature_mapping</w:t>
            </w:r>
          </w:p>
        </w:tc>
        <w:tc>
          <w:tcPr>
            <w:tcW w:type="dxa" w:w="1440"/>
          </w:tcPr>
          <w:p>
            <w:r>
              <w:t>role, feature, brokerId</w:t>
            </w:r>
          </w:p>
        </w:tc>
        <w:tc>
          <w:tcPr>
            <w:tcW w:type="dxa" w:w="1440"/>
          </w:tcPr>
          <w:p>
            <w:r>
              <w:t>role:{roleId}</w:t>
            </w:r>
          </w:p>
        </w:tc>
        <w:tc>
          <w:tcPr>
            <w:tcW w:type="dxa" w:w="1440"/>
          </w:tcPr>
          <w:p>
            <w:r>
              <w:t>Mostly static config</w:t>
            </w:r>
          </w:p>
        </w:tc>
      </w:tr>
      <w:tr>
        <w:tc>
          <w:tcPr>
            <w:tcW w:type="dxa" w:w="1440"/>
          </w:tcPr>
          <w:p>
            <w:r>
              <w:t>broker-master-service</w:t>
            </w:r>
          </w:p>
        </w:tc>
        <w:tc>
          <w:tcPr>
            <w:tcW w:type="dxa" w:w="1440"/>
          </w:tcPr>
          <w:p>
            <w:r>
              <w:t>Broker master data (name, region, type)</w:t>
            </w:r>
          </w:p>
        </w:tc>
        <w:tc>
          <w:tcPr>
            <w:tcW w:type="dxa" w:w="1440"/>
          </w:tcPr>
          <w:p>
            <w:r>
              <w:t>broker_master</w:t>
            </w:r>
          </w:p>
        </w:tc>
        <w:tc>
          <w:tcPr>
            <w:tcW w:type="dxa" w:w="1440"/>
          </w:tcPr>
          <w:p>
            <w:r>
              <w:t>brokerId, brokerName, region, type</w:t>
            </w:r>
          </w:p>
        </w:tc>
        <w:tc>
          <w:tcPr>
            <w:tcW w:type="dxa" w:w="1440"/>
          </w:tcPr>
          <w:p>
            <w:r>
              <w:t>broker:{brokerId}</w:t>
            </w:r>
          </w:p>
        </w:tc>
        <w:tc>
          <w:tcPr>
            <w:tcW w:type="dxa" w:w="1440"/>
          </w:tcPr>
          <w:p>
            <w:r>
              <w:t>Low cardinality, infrequent updates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