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Broker Service Microservices Analysis Document</w:t>
      </w:r>
    </w:p>
    <w:p>
      <w:pPr>
        <w:pStyle w:val="Heading1"/>
      </w:pPr>
      <w:r>
        <w:t>1. Overview</w:t>
      </w:r>
    </w:p>
    <w:p>
      <w:r>
        <w:t>This document provides a detailed breakdown of the Broker Service into dedicated microservices, including their responsibilities, utilized fields, data sources, caches, and views. The content is based on Swagger API definitions and internal service design patterns.</w:t>
      </w:r>
    </w:p>
    <w:p>
      <w:pPr>
        <w:pStyle w:val="Heading1"/>
      </w:pPr>
      <w:r>
        <w:t>2. Microservices Breakdown</w:t>
      </w:r>
    </w:p>
    <w:p>
      <w:pPr>
        <w:pStyle w:val="Heading2"/>
      </w:pPr>
      <w:r>
        <w:t>2.1 Legal Entity Identifier (LEI) Service</w:t>
      </w:r>
    </w:p>
    <w:p>
      <w:r>
        <w:t>This microservice handles all operations related to Legal Entity Identifiers. It interacts with the EMMA system to retrieve legal entity details.</w:t>
      </w:r>
    </w:p>
    <w:p>
      <w:r>
        <w:t>Endpoints:</w:t>
      </w:r>
    </w:p>
    <w:p>
      <w:pPr>
        <w:pStyle w:val="ListBullet"/>
      </w:pPr>
      <w:r>
        <w:t>/lei/defaults – Get default LEIs for settlement broker and product</w:t>
      </w:r>
    </w:p>
    <w:p>
      <w:pPr>
        <w:pStyle w:val="ListBullet"/>
      </w:pPr>
      <w:r>
        <w:t>/lei/emmaLookup – Lookup LEI details from EMMA via LEI or EMMA ID</w:t>
      </w:r>
    </w:p>
    <w:p>
      <w:pPr>
        <w:pStyle w:val="ListBullet"/>
      </w:pPr>
      <w:r>
        <w:t>/lei/all – List all EMMA Legal Entity details</w:t>
      </w:r>
    </w:p>
    <w:p>
      <w:pPr>
        <w:pStyle w:val="ListBullet"/>
      </w:pPr>
      <w:r>
        <w:t>/lei/account – Get LEI details for a specific account</w:t>
      </w:r>
    </w:p>
    <w:p>
      <w:pPr>
        <w:pStyle w:val="ListBullet"/>
      </w:pPr>
      <w:r>
        <w:t>/lei/fix – Lookup LEI details for a FIX message</w:t>
      </w:r>
    </w:p>
    <w:p>
      <w:r>
        <w:t>Fields Used: settlementBroker, productType, leiString, emmaId, accountId</w:t>
      </w:r>
    </w:p>
    <w:p>
      <w:r>
        <w:t>Data Source: EMMA System</w:t>
      </w:r>
    </w:p>
    <w:p>
      <w:r>
        <w:t>Cache: None explicitly mentioned</w:t>
      </w:r>
    </w:p>
    <w:p>
      <w:pPr>
        <w:pStyle w:val="Heading2"/>
      </w:pPr>
      <w:r>
        <w:t>2.2 Portfolio Permissions Service</w:t>
      </w:r>
    </w:p>
    <w:p>
      <w:r>
        <w:t>Manages broker permissions related to desk and broker code combinations.</w:t>
      </w:r>
    </w:p>
    <w:p>
      <w:r>
        <w:t>Endpoint:</w:t>
      </w:r>
    </w:p>
    <w:p>
      <w:pPr>
        <w:pStyle w:val="ListBullet"/>
      </w:pPr>
      <w:r>
        <w:t>/portfolios/permissions – Aggregates all permitted/restricted brokers</w:t>
      </w:r>
    </w:p>
    <w:p>
      <w:r>
        <w:t>Fields Used: deskId, brokerCodes[]</w:t>
      </w:r>
    </w:p>
    <w:p>
      <w:r>
        <w:t>Data Source: Portfolio Management System</w:t>
      </w:r>
    </w:p>
    <w:p>
      <w:r>
        <w:t>Cache: Possibly in-memory for quick reference</w:t>
      </w:r>
    </w:p>
    <w:p>
      <w:pPr>
        <w:pStyle w:val="Heading2"/>
      </w:pPr>
      <w:r>
        <w:t>2.3 Mandate Restrictions Service</w:t>
      </w:r>
    </w:p>
    <w:p>
      <w:r>
        <w:t>Handles mandate restrictions and Volcker 23A compliance.</w:t>
      </w:r>
    </w:p>
    <w:p>
      <w:r>
        <w:t>Endpoints:</w:t>
      </w:r>
    </w:p>
    <w:p>
      <w:pPr>
        <w:pStyle w:val="ListBullet"/>
      </w:pPr>
      <w:r>
        <w:t>/mandates/all – Get all mandate details with EMMA info</w:t>
      </w:r>
    </w:p>
    <w:p>
      <w:pPr>
        <w:pStyle w:val="ListBullet"/>
      </w:pPr>
      <w:r>
        <w:t>/mandates/volcker (GET/POST) – Retrieve and confirm Volcker 23A scope</w:t>
      </w:r>
    </w:p>
    <w:p>
      <w:r>
        <w:t>Fields Used: mandateId, volckerScope, emmaInfo</w:t>
      </w:r>
    </w:p>
    <w:p>
      <w:r>
        <w:t>Data Source: Mandate Repository, EMMA</w:t>
      </w:r>
    </w:p>
    <w:p>
      <w:r>
        <w:t>Cache: Partial for mandate rules</w:t>
      </w:r>
    </w:p>
    <w:p>
      <w:pPr>
        <w:pStyle w:val="Heading2"/>
      </w:pPr>
      <w:r>
        <w:t>2.4 Cache Management Service</w:t>
      </w:r>
    </w:p>
    <w:p>
      <w:r>
        <w:t>Controls cache lifecycle for guideline and account data.</w:t>
      </w:r>
    </w:p>
    <w:p>
      <w:r>
        <w:t>Endpoints:</w:t>
      </w:r>
    </w:p>
    <w:p>
      <w:pPr>
        <w:pStyle w:val="ListBullet"/>
      </w:pPr>
      <w:r>
        <w:t>/cache/clearGuidelines</w:t>
      </w:r>
    </w:p>
    <w:p>
      <w:pPr>
        <w:pStyle w:val="ListBullet"/>
      </w:pPr>
      <w:r>
        <w:t>/cache/loadGuidelines</w:t>
      </w:r>
    </w:p>
    <w:p>
      <w:pPr>
        <w:pStyle w:val="ListBullet"/>
      </w:pPr>
      <w:r>
        <w:t>/cache/refreshAccount</w:t>
      </w:r>
    </w:p>
    <w:p>
      <w:r>
        <w:t>Fields Used: accountId, productType</w:t>
      </w:r>
    </w:p>
    <w:p>
      <w:r>
        <w:t>Cache: In-memory; controlled by above endpoints</w:t>
      </w:r>
    </w:p>
    <w:p>
      <w:r>
        <w:t>Data Source: Sentinel</w:t>
      </w:r>
    </w:p>
    <w:p>
      <w:pPr>
        <w:pStyle w:val="Heading2"/>
      </w:pPr>
      <w:r>
        <w:t>2.5 Broker Restrictions Service</w:t>
      </w:r>
    </w:p>
    <w:p>
      <w:r>
        <w:t>Handles all broker restrictions and permissions.</w:t>
      </w:r>
    </w:p>
    <w:p>
      <w:r>
        <w:t>Endpoints:</w:t>
      </w:r>
    </w:p>
    <w:p>
      <w:pPr>
        <w:pStyle w:val="ListBullet"/>
      </w:pPr>
      <w:r>
        <w:t>/brokers/perdesk – List RADAR brokers for a desk</w:t>
      </w:r>
    </w:p>
    <w:p>
      <w:pPr>
        <w:pStyle w:val="ListBullet"/>
      </w:pPr>
      <w:r>
        <w:t>/brokers/permittedaccounts – Permitted accounts for broker</w:t>
      </w:r>
    </w:p>
    <w:p>
      <w:pPr>
        <w:pStyle w:val="ListBullet"/>
      </w:pPr>
      <w:r>
        <w:t>/brokers/brokerdetails – Broker metadata</w:t>
      </w:r>
    </w:p>
    <w:p>
      <w:pPr>
        <w:pStyle w:val="ListBullet"/>
      </w:pPr>
      <w:r>
        <w:t>/brokers/volcker – GS Affiliated Brokers in Volcker scope</w:t>
      </w:r>
    </w:p>
    <w:p>
      <w:pPr>
        <w:pStyle w:val="ListBullet"/>
      </w:pPr>
      <w:r>
        <w:t>/brokers/permissions – Main broker permission API</w:t>
      </w:r>
    </w:p>
    <w:p>
      <w:pPr>
        <w:pStyle w:val="ListBullet"/>
      </w:pPr>
      <w:r>
        <w:t>/brokers/health – Broker Service health check</w:t>
      </w:r>
    </w:p>
    <w:p>
      <w:pPr>
        <w:pStyle w:val="ListBullet"/>
      </w:pPr>
      <w:r>
        <w:t>/brokers/japan – Japanese broker mapping</w:t>
      </w:r>
    </w:p>
    <w:p>
      <w:pPr>
        <w:pStyle w:val="ListBullet"/>
      </w:pPr>
      <w:r>
        <w:t>/brokers/permissionsperdesk – Aggregate brokers by desk/product</w:t>
      </w:r>
    </w:p>
    <w:p>
      <w:r>
        <w:t>Fields Used: brokerId, deskId, productIds[], radarBrokerId</w:t>
      </w:r>
    </w:p>
    <w:p>
      <w:r>
        <w:t>Cache: Used for broker metadata</w:t>
      </w:r>
    </w:p>
    <w:p>
      <w:r>
        <w:t>Data Sources: RADAR System, Volcker Registry</w:t>
      </w:r>
    </w:p>
    <w:p>
      <w:pPr>
        <w:pStyle w:val="Heading1"/>
      </w:pPr>
      <w:r>
        <w:t>3. Conclusion</w:t>
      </w:r>
    </w:p>
    <w:p>
      <w:r>
        <w:t>The Broker Service has been modularized into distinct microservices to allow independent scalability, ownership, and efficient data handling. The design leverages caching strategies and external data sources for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