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 xml:space="preserve">paCy (including tokenization, lemmatization, </w:t>
      </w:r>
      <w:proofErr w:type="spellStart"/>
      <w:r w:rsidRPr="00C74BBF">
        <w:rPr>
          <w:rFonts w:ascii="Times New Roman" w:hAnsi="Times New Roman" w:cs="Times New Roman"/>
          <w:sz w:val="24"/>
          <w:szCs w:val="24"/>
        </w:rPr>
        <w:t>stopword</w:t>
      </w:r>
      <w:proofErr w:type="spellEnd"/>
      <w:r w:rsidRPr="00C74BBF">
        <w:rPr>
          <w:rFonts w:ascii="Times New Roman" w:hAnsi="Times New Roman" w:cs="Times New Roman"/>
          <w:sz w:val="24"/>
          <w:szCs w:val="24"/>
        </w:rPr>
        <w:t xml:space="preserve">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Default="00357F80" w:rsidP="00357F80">
      <w:pPr>
        <w:pStyle w:val="Heading1"/>
        <w:spacing w:line="480" w:lineRule="auto"/>
        <w:jc w:val="center"/>
        <w:rPr>
          <w:rFonts w:ascii="Times New Roman" w:hAnsi="Times New Roman" w:cs="Times New Roman"/>
          <w:b/>
          <w:bCs/>
          <w:sz w:val="28"/>
          <w:szCs w:val="28"/>
        </w:rPr>
      </w:pPr>
      <w:bookmarkStart w:id="0" w:name="_Toc180684955"/>
      <w:bookmarkStart w:id="1" w:name="_Toc196929604"/>
      <w:r>
        <w:rPr>
          <w:rFonts w:ascii="Times New Roman" w:hAnsi="Times New Roman" w:cs="Times New Roman"/>
          <w:b/>
          <w:bCs/>
          <w:sz w:val="28"/>
          <w:szCs w:val="28"/>
        </w:rPr>
        <w:lastRenderedPageBreak/>
        <w:t xml:space="preserve">CHAPTER </w:t>
      </w:r>
      <w:r w:rsidR="003F38DF">
        <w:rPr>
          <w:rFonts w:ascii="Times New Roman" w:hAnsi="Times New Roman" w:cs="Times New Roman"/>
          <w:b/>
          <w:bCs/>
          <w:sz w:val="28"/>
          <w:szCs w:val="28"/>
        </w:rPr>
        <w:t>1</w:t>
      </w:r>
      <w:r>
        <w:rPr>
          <w:rFonts w:ascii="Times New Roman" w:hAnsi="Times New Roman" w:cs="Times New Roman"/>
          <w:b/>
          <w:bCs/>
          <w:sz w:val="28"/>
          <w:szCs w:val="28"/>
        </w:rPr>
        <w:t xml:space="preserve"> </w:t>
      </w:r>
      <w:r w:rsidR="00E4534F">
        <w:rPr>
          <w:rFonts w:ascii="Times New Roman" w:hAnsi="Times New Roman" w:cs="Times New Roman"/>
          <w:b/>
          <w:bCs/>
          <w:sz w:val="28"/>
          <w:szCs w:val="28"/>
        </w:rPr>
        <w:t>–</w:t>
      </w:r>
      <w:r w:rsidR="003F38DF" w:rsidRPr="003F38DF">
        <w:rPr>
          <w:rFonts w:ascii="Times New Roman" w:hAnsi="Times New Roman" w:cs="Times New Roman"/>
          <w:b/>
          <w:bCs/>
          <w:sz w:val="28"/>
          <w:szCs w:val="28"/>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w:t>
      </w:r>
      <w:proofErr w:type="spellStart"/>
      <w:r w:rsidRPr="004B65EF">
        <w:rPr>
          <w:rFonts w:ascii="Times New Roman" w:hAnsi="Times New Roman" w:cs="Times New Roman"/>
          <w:sz w:val="24"/>
          <w:szCs w:val="24"/>
          <w:lang w:eastAsia="en-GB"/>
        </w:rPr>
        <w:t>livability</w:t>
      </w:r>
      <w:proofErr w:type="spellEnd"/>
      <w:r w:rsidRPr="004B65EF">
        <w:rPr>
          <w:rFonts w:ascii="Times New Roman" w:hAnsi="Times New Roman" w:cs="Times New Roman"/>
          <w:sz w:val="24"/>
          <w:szCs w:val="24"/>
          <w:lang w:eastAsia="en-GB"/>
        </w:rPr>
        <w:t xml:space="preserve">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selecting this topic, the goal was not just to complete a project for academic </w:t>
      </w:r>
      <w:proofErr w:type="spellStart"/>
      <w:r w:rsidRPr="004B65EF">
        <w:rPr>
          <w:rFonts w:ascii="Times New Roman" w:hAnsi="Times New Roman" w:cs="Times New Roman"/>
          <w:sz w:val="24"/>
          <w:szCs w:val="24"/>
          <w:lang w:eastAsia="en-GB"/>
        </w:rPr>
        <w:t>fulfillment</w:t>
      </w:r>
      <w:proofErr w:type="spellEnd"/>
      <w:r w:rsidRPr="004B65EF">
        <w:rPr>
          <w:rFonts w:ascii="Times New Roman" w:hAnsi="Times New Roman" w:cs="Times New Roman"/>
          <w:sz w:val="24"/>
          <w:szCs w:val="24"/>
          <w:lang w:eastAsia="en-GB"/>
        </w:rPr>
        <w:t xml:space="preserve">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470CF8" w:rsidRDefault="00470CF8" w:rsidP="00470CF8">
      <w:pPr>
        <w:pStyle w:val="Heading1"/>
        <w:spacing w:line="480" w:lineRule="auto"/>
        <w:jc w:val="center"/>
        <w:rPr>
          <w:rFonts w:ascii="Times New Roman" w:hAnsi="Times New Roman" w:cs="Times New Roman"/>
          <w:b/>
          <w:bCs/>
          <w:sz w:val="28"/>
          <w:szCs w:val="28"/>
        </w:rPr>
      </w:pPr>
      <w:bookmarkStart w:id="2" w:name="_Toc196929605"/>
      <w:r w:rsidRPr="00470CF8">
        <w:rPr>
          <w:rFonts w:ascii="Times New Roman" w:hAnsi="Times New Roman" w:cs="Times New Roman"/>
          <w:b/>
          <w:bCs/>
          <w:sz w:val="28"/>
          <w:szCs w:val="28"/>
        </w:rPr>
        <w:lastRenderedPageBreak/>
        <w:t xml:space="preserve">CHAPTER </w:t>
      </w:r>
      <w:r w:rsidR="004F5B05" w:rsidRPr="00470CF8">
        <w:rPr>
          <w:rFonts w:ascii="Times New Roman" w:hAnsi="Times New Roman" w:cs="Times New Roman"/>
          <w:b/>
          <w:bCs/>
          <w:sz w:val="28"/>
          <w:szCs w:val="28"/>
        </w:rPr>
        <w:t>2</w:t>
      </w:r>
      <w:r w:rsidRPr="00470CF8">
        <w:rPr>
          <w:rFonts w:ascii="Times New Roman" w:hAnsi="Times New Roman" w:cs="Times New Roman"/>
          <w:b/>
          <w:bCs/>
          <w:sz w:val="28"/>
          <w:szCs w:val="28"/>
        </w:rPr>
        <w:t xml:space="preserve"> -</w:t>
      </w:r>
      <w:r w:rsidR="004F5B05" w:rsidRPr="00470CF8">
        <w:rPr>
          <w:rFonts w:ascii="Times New Roman" w:hAnsi="Times New Roman" w:cs="Times New Roman"/>
          <w:b/>
          <w:bCs/>
          <w:sz w:val="28"/>
          <w:szCs w:val="28"/>
        </w:rPr>
        <w:t xml:space="preserve">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96929606"/>
      <w:r>
        <w:rPr>
          <w:rFonts w:ascii="Times New Roman" w:hAnsi="Times New Roman" w:cs="Times New Roman"/>
          <w:b/>
          <w:bCs/>
          <w:sz w:val="28"/>
          <w:szCs w:val="28"/>
        </w:rPr>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lastRenderedPageBreak/>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w:t>
      </w:r>
      <w:r w:rsidRPr="00802FB6">
        <w:rPr>
          <w:rFonts w:ascii="Times New Roman" w:hAnsi="Times New Roman" w:cs="Times New Roman"/>
          <w:sz w:val="24"/>
          <w:szCs w:val="24"/>
          <w:lang w:eastAsia="en-GB"/>
        </w:rPr>
        <w:lastRenderedPageBreak/>
        <w:t>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96929607"/>
      <w:r w:rsidRPr="00B053B2">
        <w:rPr>
          <w:rFonts w:ascii="Times New Roman" w:hAnsi="Times New Roman" w:cs="Times New Roman"/>
          <w:b/>
          <w:bCs/>
          <w:sz w:val="28"/>
          <w:szCs w:val="28"/>
        </w:rPr>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96929608"/>
      <w:r w:rsidRPr="003C55C0">
        <w:rPr>
          <w:rFonts w:ascii="Times New Roman" w:hAnsi="Times New Roman" w:cs="Times New Roman"/>
          <w:b/>
          <w:bCs/>
          <w:color w:val="auto"/>
          <w:sz w:val="24"/>
          <w:szCs w:val="24"/>
        </w:rPr>
        <w:lastRenderedPageBreak/>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969296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96929610"/>
      <w:r w:rsidRPr="00D83928">
        <w:rPr>
          <w:rFonts w:ascii="Times New Roman" w:hAnsi="Times New Roman" w:cs="Times New Roman"/>
          <w:b/>
          <w:bCs/>
          <w:color w:val="auto"/>
          <w:sz w:val="24"/>
          <w:szCs w:val="24"/>
        </w:rPr>
        <w:lastRenderedPageBreak/>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96929611"/>
      <w:r w:rsidRPr="009232BA">
        <w:rPr>
          <w:rFonts w:ascii="Times New Roman" w:hAnsi="Times New Roman" w:cs="Times New Roman"/>
          <w:b/>
          <w:bCs/>
          <w:color w:val="auto"/>
          <w:sz w:val="24"/>
          <w:szCs w:val="24"/>
        </w:rPr>
        <w:t>4.4 MODEL EVALUATION AND SELECTION</w:t>
      </w:r>
      <w:bookmarkEnd w:id="9"/>
    </w:p>
    <w:p w14:paraId="318116D2" w14:textId="6F70C1AA" w:rsidR="00B563E7" w:rsidRPr="00024AE6" w:rsidRDefault="002D5EB9" w:rsidP="00024AE6">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10" w:name="_Toc196929612"/>
      <w:r w:rsidRPr="00330F83">
        <w:rPr>
          <w:rFonts w:ascii="Times New Roman" w:hAnsi="Times New Roman" w:cs="Times New Roman"/>
          <w:b/>
          <w:bCs/>
          <w:sz w:val="28"/>
          <w:szCs w:val="28"/>
        </w:rPr>
        <w:lastRenderedPageBreak/>
        <w:t>9. RESULT DISCUSSION</w:t>
      </w:r>
      <w:bookmarkEnd w:id="1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674B039F" w14:textId="3A922235" w:rsidR="00130FB3" w:rsidRPr="00130FB3" w:rsidRDefault="00B303BB" w:rsidP="00130FB3">
      <w:pPr>
        <w:spacing w:line="480" w:lineRule="auto"/>
        <w:jc w:val="both"/>
        <w:rPr>
          <w:rFonts w:ascii="Times New Roman" w:hAnsi="Times New Roman" w:cs="Times New Roman"/>
          <w:sz w:val="24"/>
          <w:szCs w:val="24"/>
          <w:lang w:eastAsia="en-GB"/>
        </w:rPr>
      </w:pPr>
      <w:r>
        <w:rPr>
          <w:noProof/>
        </w:rPr>
        <w:lastRenderedPageBreak/>
        <w:drawing>
          <wp:inline distT="0" distB="0" distL="0" distR="0" wp14:anchorId="3950B97E" wp14:editId="5B1E7598">
            <wp:extent cx="4075430" cy="8891270"/>
            <wp:effectExtent l="0" t="0" r="1270" b="5080"/>
            <wp:docPr id="1047028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430" cy="8891270"/>
                    </a:xfrm>
                    <a:prstGeom prst="rect">
                      <a:avLst/>
                    </a:prstGeom>
                    <a:noFill/>
                    <a:ln>
                      <a:noFill/>
                    </a:ln>
                  </pic:spPr>
                </pic:pic>
              </a:graphicData>
            </a:graphic>
          </wp:inline>
        </w:drawing>
      </w: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11" w:name="_Toc196929613"/>
      <w:r w:rsidRPr="00865C41">
        <w:rPr>
          <w:rFonts w:ascii="Times New Roman" w:hAnsi="Times New Roman" w:cs="Times New Roman"/>
          <w:b/>
          <w:bCs/>
          <w:sz w:val="28"/>
          <w:szCs w:val="28"/>
        </w:rPr>
        <w:t>10. CONCLUSION AND FUTURE SCOPE</w:t>
      </w:r>
      <w:bookmarkEnd w:id="11"/>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12" w:name="_Toc196929614"/>
      <w:r w:rsidRPr="0081521F">
        <w:rPr>
          <w:rFonts w:ascii="Times New Roman" w:hAnsi="Times New Roman" w:cs="Times New Roman"/>
          <w:b/>
          <w:bCs/>
          <w:sz w:val="28"/>
          <w:szCs w:val="28"/>
        </w:rPr>
        <w:t>11. BIBLIOGRAPHY</w:t>
      </w:r>
      <w:bookmarkEnd w:id="12"/>
    </w:p>
    <w:p w14:paraId="7131FB93" w14:textId="6724DC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10" w:history="1">
        <w:r w:rsidRPr="00B13D93">
          <w:rPr>
            <w:rStyle w:val="Hyperlink"/>
            <w:rFonts w:ascii="Times New Roman" w:hAnsi="Times New Roman" w:cs="Times New Roman"/>
            <w:sz w:val="24"/>
            <w:szCs w:val="24"/>
            <w:lang w:eastAsia="en-GB"/>
          </w:rPr>
          <w:t>View the Document</w:t>
        </w:r>
      </w:hyperlink>
    </w:p>
    <w:p w14:paraId="258D1CE8" w14:textId="7A9638E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319AB657" w14:textId="0FF8D029"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1751FB14" w14:textId="28B558C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proofErr w:type="gramStart"/>
      <w:r w:rsidRPr="00B13D93">
        <w:rPr>
          <w:rFonts w:ascii="Times New Roman" w:hAnsi="Times New Roman" w:cs="Times New Roman"/>
          <w:i/>
          <w:iCs/>
          <w:sz w:val="24"/>
          <w:szCs w:val="24"/>
          <w:lang w:eastAsia="en-GB"/>
        </w:rPr>
        <w:t>)</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proofErr w:type="gramEnd"/>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3F19EF14" w14:textId="44BE39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60F5B0AC" w14:textId="14951ED4"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lastRenderedPageBreak/>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71E67A1E" w14:textId="37828BBD"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A churn prediction model using random forest: analysis of machine learning techniques for 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6776F115" w14:textId="3E70B98E"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590B9A7A" w14:textId="4CEFAB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8" w:history="1">
        <w:r w:rsidRPr="00B13D93">
          <w:rPr>
            <w:rStyle w:val="Hyperlink"/>
            <w:rFonts w:ascii="Times New Roman" w:hAnsi="Times New Roman" w:cs="Times New Roman"/>
            <w:sz w:val="24"/>
            <w:szCs w:val="24"/>
            <w:lang w:eastAsia="en-GB"/>
          </w:rPr>
          <w:t>View the Document</w:t>
        </w:r>
      </w:hyperlink>
    </w:p>
    <w:p w14:paraId="7DDABB41" w14:textId="005A6998"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19"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20"/>
      <w:footerReference w:type="defaul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FA9F3" w14:textId="77777777" w:rsidR="005D345D" w:rsidRDefault="005D345D" w:rsidP="00CF511C">
      <w:pPr>
        <w:spacing w:after="0" w:line="240" w:lineRule="auto"/>
      </w:pPr>
      <w:r>
        <w:separator/>
      </w:r>
    </w:p>
  </w:endnote>
  <w:endnote w:type="continuationSeparator" w:id="0">
    <w:p w14:paraId="68DBB795" w14:textId="77777777" w:rsidR="005D345D" w:rsidRDefault="005D345D"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435E2" w14:textId="77777777" w:rsidR="005D345D" w:rsidRDefault="005D345D" w:rsidP="00CF511C">
      <w:pPr>
        <w:spacing w:after="0" w:line="240" w:lineRule="auto"/>
      </w:pPr>
      <w:r>
        <w:separator/>
      </w:r>
    </w:p>
  </w:footnote>
  <w:footnote w:type="continuationSeparator" w:id="0">
    <w:p w14:paraId="615C9419" w14:textId="77777777" w:rsidR="005D345D" w:rsidRDefault="005D345D"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407D5"/>
    <w:rsid w:val="00065D91"/>
    <w:rsid w:val="00067ED2"/>
    <w:rsid w:val="000731D2"/>
    <w:rsid w:val="0007546D"/>
    <w:rsid w:val="00085738"/>
    <w:rsid w:val="00086629"/>
    <w:rsid w:val="00096165"/>
    <w:rsid w:val="00096F28"/>
    <w:rsid w:val="000A4EB5"/>
    <w:rsid w:val="000C197A"/>
    <w:rsid w:val="000C744D"/>
    <w:rsid w:val="000D1891"/>
    <w:rsid w:val="000E2F2C"/>
    <w:rsid w:val="000E4557"/>
    <w:rsid w:val="000E5E5D"/>
    <w:rsid w:val="000E6FF2"/>
    <w:rsid w:val="000F2871"/>
    <w:rsid w:val="000F4F5C"/>
    <w:rsid w:val="00104A6D"/>
    <w:rsid w:val="001170DD"/>
    <w:rsid w:val="0012493B"/>
    <w:rsid w:val="00130FB3"/>
    <w:rsid w:val="00136C2D"/>
    <w:rsid w:val="001662CB"/>
    <w:rsid w:val="00166EB0"/>
    <w:rsid w:val="00180108"/>
    <w:rsid w:val="00185958"/>
    <w:rsid w:val="001939CE"/>
    <w:rsid w:val="00195326"/>
    <w:rsid w:val="001A7EAD"/>
    <w:rsid w:val="001B5022"/>
    <w:rsid w:val="001C69BC"/>
    <w:rsid w:val="001D7B05"/>
    <w:rsid w:val="001E1D7E"/>
    <w:rsid w:val="001F1B64"/>
    <w:rsid w:val="001F4071"/>
    <w:rsid w:val="002068E1"/>
    <w:rsid w:val="00210CE2"/>
    <w:rsid w:val="00213753"/>
    <w:rsid w:val="0021668D"/>
    <w:rsid w:val="0023155B"/>
    <w:rsid w:val="00232400"/>
    <w:rsid w:val="0023425D"/>
    <w:rsid w:val="00237204"/>
    <w:rsid w:val="00245B01"/>
    <w:rsid w:val="00256E43"/>
    <w:rsid w:val="00262E65"/>
    <w:rsid w:val="002774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54600"/>
    <w:rsid w:val="00357F80"/>
    <w:rsid w:val="003749F1"/>
    <w:rsid w:val="0039313F"/>
    <w:rsid w:val="003932BA"/>
    <w:rsid w:val="00394AF9"/>
    <w:rsid w:val="003B2ED1"/>
    <w:rsid w:val="003C1B54"/>
    <w:rsid w:val="003C55C0"/>
    <w:rsid w:val="003C70FC"/>
    <w:rsid w:val="003C7178"/>
    <w:rsid w:val="003C7758"/>
    <w:rsid w:val="003D0E9F"/>
    <w:rsid w:val="003E4E5F"/>
    <w:rsid w:val="003E65EF"/>
    <w:rsid w:val="003F2BB9"/>
    <w:rsid w:val="003F38DF"/>
    <w:rsid w:val="00407FDF"/>
    <w:rsid w:val="0041521B"/>
    <w:rsid w:val="00415299"/>
    <w:rsid w:val="00430399"/>
    <w:rsid w:val="00431C91"/>
    <w:rsid w:val="00435CD6"/>
    <w:rsid w:val="00442604"/>
    <w:rsid w:val="00470CF8"/>
    <w:rsid w:val="004713AA"/>
    <w:rsid w:val="0047588E"/>
    <w:rsid w:val="00494AA5"/>
    <w:rsid w:val="00494F71"/>
    <w:rsid w:val="0049665F"/>
    <w:rsid w:val="004B1556"/>
    <w:rsid w:val="004B65EF"/>
    <w:rsid w:val="004E4E8E"/>
    <w:rsid w:val="004E7C28"/>
    <w:rsid w:val="004F1023"/>
    <w:rsid w:val="004F2A2C"/>
    <w:rsid w:val="004F5B05"/>
    <w:rsid w:val="0051468F"/>
    <w:rsid w:val="00516606"/>
    <w:rsid w:val="00525AB5"/>
    <w:rsid w:val="005474C8"/>
    <w:rsid w:val="00552EBC"/>
    <w:rsid w:val="005613BC"/>
    <w:rsid w:val="0058061E"/>
    <w:rsid w:val="0058459D"/>
    <w:rsid w:val="00593152"/>
    <w:rsid w:val="005B0077"/>
    <w:rsid w:val="005B6EAD"/>
    <w:rsid w:val="005C0407"/>
    <w:rsid w:val="005C206F"/>
    <w:rsid w:val="005C4654"/>
    <w:rsid w:val="005D1FF8"/>
    <w:rsid w:val="005D345D"/>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7267D"/>
    <w:rsid w:val="00772D67"/>
    <w:rsid w:val="0077663B"/>
    <w:rsid w:val="00776C4D"/>
    <w:rsid w:val="00782A88"/>
    <w:rsid w:val="0078307E"/>
    <w:rsid w:val="00792982"/>
    <w:rsid w:val="00797F16"/>
    <w:rsid w:val="007B2309"/>
    <w:rsid w:val="007B50B5"/>
    <w:rsid w:val="007B5772"/>
    <w:rsid w:val="007B6CEE"/>
    <w:rsid w:val="007C1DF2"/>
    <w:rsid w:val="007C405E"/>
    <w:rsid w:val="007C47CA"/>
    <w:rsid w:val="007E1F99"/>
    <w:rsid w:val="007F5314"/>
    <w:rsid w:val="007F5E10"/>
    <w:rsid w:val="007F74D7"/>
    <w:rsid w:val="007F74E7"/>
    <w:rsid w:val="0080077F"/>
    <w:rsid w:val="008011BB"/>
    <w:rsid w:val="00802FB6"/>
    <w:rsid w:val="00805930"/>
    <w:rsid w:val="0080659A"/>
    <w:rsid w:val="0081521F"/>
    <w:rsid w:val="00821A1D"/>
    <w:rsid w:val="00837F8D"/>
    <w:rsid w:val="00843B6A"/>
    <w:rsid w:val="00844641"/>
    <w:rsid w:val="008600FD"/>
    <w:rsid w:val="00860AD5"/>
    <w:rsid w:val="008622DD"/>
    <w:rsid w:val="00862C6B"/>
    <w:rsid w:val="00865C41"/>
    <w:rsid w:val="00866DAA"/>
    <w:rsid w:val="008A427C"/>
    <w:rsid w:val="008A7BFF"/>
    <w:rsid w:val="008B78DC"/>
    <w:rsid w:val="008D3217"/>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08ED"/>
    <w:rsid w:val="00AD4CC2"/>
    <w:rsid w:val="00AD4EEA"/>
    <w:rsid w:val="00AD65F8"/>
    <w:rsid w:val="00AD6737"/>
    <w:rsid w:val="00AF23FC"/>
    <w:rsid w:val="00AF25B9"/>
    <w:rsid w:val="00AF76E0"/>
    <w:rsid w:val="00AF7B58"/>
    <w:rsid w:val="00B053B2"/>
    <w:rsid w:val="00B13D93"/>
    <w:rsid w:val="00B237FD"/>
    <w:rsid w:val="00B26DCA"/>
    <w:rsid w:val="00B303BB"/>
    <w:rsid w:val="00B32F93"/>
    <w:rsid w:val="00B4264B"/>
    <w:rsid w:val="00B44036"/>
    <w:rsid w:val="00B4437E"/>
    <w:rsid w:val="00B51A79"/>
    <w:rsid w:val="00B563E7"/>
    <w:rsid w:val="00B6243E"/>
    <w:rsid w:val="00B801C8"/>
    <w:rsid w:val="00B85609"/>
    <w:rsid w:val="00B85777"/>
    <w:rsid w:val="00B86583"/>
    <w:rsid w:val="00BB572C"/>
    <w:rsid w:val="00BC24CC"/>
    <w:rsid w:val="00BC3601"/>
    <w:rsid w:val="00BD6A0F"/>
    <w:rsid w:val="00BE0E46"/>
    <w:rsid w:val="00BE109A"/>
    <w:rsid w:val="00BF51B3"/>
    <w:rsid w:val="00BF64C2"/>
    <w:rsid w:val="00C01970"/>
    <w:rsid w:val="00C01F94"/>
    <w:rsid w:val="00C03041"/>
    <w:rsid w:val="00C14FF5"/>
    <w:rsid w:val="00C159C2"/>
    <w:rsid w:val="00C15E52"/>
    <w:rsid w:val="00C17DFD"/>
    <w:rsid w:val="00C2100A"/>
    <w:rsid w:val="00C3212B"/>
    <w:rsid w:val="00C327B0"/>
    <w:rsid w:val="00C344CC"/>
    <w:rsid w:val="00C37A2C"/>
    <w:rsid w:val="00C4428A"/>
    <w:rsid w:val="00C46602"/>
    <w:rsid w:val="00C47695"/>
    <w:rsid w:val="00C510EB"/>
    <w:rsid w:val="00C54656"/>
    <w:rsid w:val="00C6507E"/>
    <w:rsid w:val="00C66A28"/>
    <w:rsid w:val="00C74BBF"/>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4044"/>
    <w:rsid w:val="00D4182F"/>
    <w:rsid w:val="00D435E9"/>
    <w:rsid w:val="00D46172"/>
    <w:rsid w:val="00D60076"/>
    <w:rsid w:val="00D6548A"/>
    <w:rsid w:val="00D70364"/>
    <w:rsid w:val="00D75CAB"/>
    <w:rsid w:val="00D8030D"/>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34F"/>
    <w:rsid w:val="00E45473"/>
    <w:rsid w:val="00E462B5"/>
    <w:rsid w:val="00E51C82"/>
    <w:rsid w:val="00E55A4E"/>
    <w:rsid w:val="00E566C3"/>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E453E"/>
    <w:rsid w:val="00EE59B3"/>
    <w:rsid w:val="00EE626A"/>
    <w:rsid w:val="00EE7A95"/>
    <w:rsid w:val="00EF0421"/>
    <w:rsid w:val="00EF614B"/>
    <w:rsid w:val="00F0555F"/>
    <w:rsid w:val="00F103D4"/>
    <w:rsid w:val="00F13C6B"/>
    <w:rsid w:val="00F14DD6"/>
    <w:rsid w:val="00F24D90"/>
    <w:rsid w:val="00F37DFB"/>
    <w:rsid w:val="00F47882"/>
    <w:rsid w:val="00F524BA"/>
    <w:rsid w:val="00F67008"/>
    <w:rsid w:val="00F67F54"/>
    <w:rsid w:val="00F752A2"/>
    <w:rsid w:val="00FA52FC"/>
    <w:rsid w:val="00FC1A8B"/>
    <w:rsid w:val="00FE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8014605" TargetMode="External"/><Relationship Id="rId18" Type="http://schemas.openxmlformats.org/officeDocument/2006/relationships/hyperlink" Target="https://ieeexplore.ieee.org/document/94288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jcaonline.org/volume27/number11/pxc3874605.pdf" TargetMode="External"/><Relationship Id="rId17" Type="http://schemas.openxmlformats.org/officeDocument/2006/relationships/hyperlink" Target="https://link.springer.com/article/10.1007/S00607-021-00908-Y" TargetMode="External"/><Relationship Id="rId2" Type="http://schemas.openxmlformats.org/officeDocument/2006/relationships/numbering" Target="numbering.xml"/><Relationship Id="rId16" Type="http://schemas.openxmlformats.org/officeDocument/2006/relationships/hyperlink" Target="https://ieeexplore.ieee.org/stamp/stamp.jsp?tp=&amp;arnumber=8706988&amp;utm_source=sciencedirect_contenthosting&amp;getft_integrator=sciencedirect_contentho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vpress.com/journals/IJMUE/vol10_no7/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3" Type="http://schemas.openxmlformats.org/officeDocument/2006/relationships/fontTable" Target="fontTable.xml"/><Relationship Id="rId10"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9" Type="http://schemas.openxmlformats.org/officeDocument/2006/relationships/hyperlink" Target="https://www.sciencedirect.com/science/article/abs/pii/S1569190X150003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caonline.org/research/volume140/number4/babu-2016-ijca-90927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26</Pages>
  <Words>6116</Words>
  <Characters>34863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598</cp:revision>
  <cp:lastPrinted>2024-11-04T20:28:00Z</cp:lastPrinted>
  <dcterms:created xsi:type="dcterms:W3CDTF">2024-10-21T12:48:00Z</dcterms:created>
  <dcterms:modified xsi:type="dcterms:W3CDTF">2025-05-01T12:30:00Z</dcterms:modified>
</cp:coreProperties>
</file>