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EA580C"/>
          <w:sz w:val="44"/>
        </w:rPr>
        <w:t>Ravishing Art Hub — Student XP &amp; Gamification System</w:t>
      </w:r>
    </w:p>
    <w:p>
      <w:pPr>
        <w:spacing w:after="360"/>
      </w:pPr>
      <w:r>
        <w:rPr>
          <w:rFonts w:ascii="Arial" w:hAnsi="Arial"/>
          <w:color w:val="64748B"/>
          <w:sz w:val="20"/>
        </w:rPr>
        <w:t>Executive Technical Specification &amp; Workflow Documentation for Client Presentation</w:t>
        <w:br/>
        <w:t>Version 1.0  |  Platform: Ravishing Art Hub Learning Academy (LMS)</w:t>
      </w:r>
    </w:p>
    <w:p>
      <w:pPr>
        <w:pStyle w:val="Heading1"/>
      </w:pPr>
      <w:r>
        <w:rPr>
          <w:rFonts w:ascii="Arial" w:hAnsi="Arial"/>
          <w:b/>
          <w:color w:val="0F172A"/>
          <w:sz w:val="28"/>
        </w:rPr>
        <w:t>1. Executive Summary</w:t>
      </w:r>
    </w:p>
    <w:p>
      <w:pPr>
        <w:spacing w:after="280"/>
      </w:pPr>
      <w:r>
        <w:t>The Ravishing Art Hub LMS incorporates an intelligent, dynamic Experience Points (XP) &amp; Gamification Engine designed to maximize student retention, engagement, and consistent practice throughout their resin art journey.</w:t>
        <w:br/>
        <w:br/>
        <w:t>The platform features two synchronized portals:</w:t>
        <w:br/>
        <w:t>• Student Portal: Enables students to view their live XP, daily learning streaks, current membership tier, badges, personalized milestones, and progress bar towards their next certification level.</w:t>
        <w:br/>
        <w:t>• Admin Portal: Gives administrators full control to inspect homework submissions, award customized points, dynamically change level tier point ranges, and distribute special achievement badges without touching any code.</w:t>
      </w:r>
    </w:p>
    <w:p>
      <w:pPr>
        <w:pStyle w:val="Heading1"/>
      </w:pPr>
      <w:r>
        <w:rPr>
          <w:rFonts w:ascii="Arial" w:hAnsi="Arial"/>
          <w:b/>
          <w:color w:val="0F172A"/>
          <w:sz w:val="28"/>
        </w:rPr>
        <w:t>2. System Architecture &amp; Dynamic Mechanics</w:t>
      </w:r>
    </w:p>
    <w:p>
      <w:pPr>
        <w:spacing w:after="280"/>
      </w:pPr>
      <w:r>
        <w:t>The gamification system runs on a Dual-Metric Architecture:</w:t>
        <w:br/>
        <w:t>1. Lifetime Points &amp; XP (points &amp; xpPoints): An atomic integer counter that increments with every validated action.</w:t>
        <w:br/>
        <w:t>2. Dynamic Level Tiers (LevelTier Table): Level thresholds stored dynamically in PostgreSQL. If the Admin updates the Gold Member requirement from 5,000 to 6,000 XP in the Admin Panel, the entire student body's progress bars and tier statuses recalculate instantly.</w:t>
      </w:r>
    </w:p>
    <w:p>
      <w:pPr>
        <w:pStyle w:val="Heading1"/>
      </w:pPr>
      <w:r>
        <w:rPr>
          <w:rFonts w:ascii="Arial" w:hAnsi="Arial"/>
          <w:b/>
          <w:color w:val="0F172A"/>
          <w:sz w:val="28"/>
        </w:rPr>
        <w:t>3. Dynamic XP Breakdown: The 6 Core Action Triggers</w:t>
      </w:r>
    </w:p>
    <w:tbl>
      <w:tblPr>
        <w:tblW w:type="auto" w:w="0"/>
        <w:jc w:val="center"/>
        <w:tblLook w:firstColumn="1" w:firstRow="1" w:lastColumn="0" w:lastRow="0" w:noHBand="0" w:noVBand="1" w:val="04A0"/>
      </w:tblPr>
      <w:tblGrid>
        <w:gridCol w:w="3312"/>
        <w:gridCol w:w="3312"/>
        <w:gridCol w:w="3312"/>
      </w:tblGrid>
      <w:tr>
        <w:tc>
          <w:tcPr>
            <w:tcW w:type="dxa" w:w="3168"/>
            <w:tcMar>
              <w:top w:w="140" w:type="dxa"/>
              <w:bottom w:w="140" w:type="dxa"/>
              <w:left w:w="140" w:type="dxa"/>
              <w:right w:w="140" w:type="dxa"/>
            </w:tcMar>
            <w:shd w:fill="0F172A"/>
          </w:tcPr>
          <w:p>
            <w:pPr>
              <w:jc w:val="left"/>
            </w:pPr>
            <w:r>
              <w:rPr>
                <w:rFonts w:ascii="Arial" w:hAnsi="Arial"/>
                <w:b/>
                <w:color w:val="FFFFFF"/>
                <w:sz w:val="19"/>
              </w:rPr>
              <w:t>Action / Activity</w:t>
            </w:r>
          </w:p>
        </w:tc>
        <w:tc>
          <w:tcPr>
            <w:tcW w:type="dxa" w:w="1872"/>
            <w:tcMar>
              <w:top w:w="140" w:type="dxa"/>
              <w:bottom w:w="140" w:type="dxa"/>
              <w:left w:w="140" w:type="dxa"/>
              <w:right w:w="140" w:type="dxa"/>
            </w:tcMar>
            <w:shd w:fill="0F172A"/>
          </w:tcPr>
          <w:p>
            <w:pPr>
              <w:jc w:val="left"/>
            </w:pPr>
            <w:r>
              <w:rPr>
                <w:rFonts w:ascii="Arial" w:hAnsi="Arial"/>
                <w:b/>
                <w:color w:val="FFFFFF"/>
                <w:sz w:val="19"/>
              </w:rPr>
              <w:t>XP Awarded</w:t>
            </w:r>
          </w:p>
        </w:tc>
        <w:tc>
          <w:tcPr>
            <w:tcW w:type="dxa" w:w="4608"/>
            <w:tcMar>
              <w:top w:w="140" w:type="dxa"/>
              <w:bottom w:w="140" w:type="dxa"/>
              <w:left w:w="140" w:type="dxa"/>
              <w:right w:w="140" w:type="dxa"/>
            </w:tcMar>
            <w:shd w:fill="0F172A"/>
          </w:tcPr>
          <w:p>
            <w:pPr>
              <w:jc w:val="left"/>
            </w:pPr>
            <w:r>
              <w:rPr>
                <w:rFonts w:ascii="Arial" w:hAnsi="Arial"/>
                <w:b/>
                <w:color w:val="FFFFFF"/>
                <w:sz w:val="19"/>
              </w:rPr>
              <w:t>Trigger &amp; Verification Method</w:t>
            </w:r>
          </w:p>
        </w:tc>
      </w:tr>
      <w:tr>
        <w:tc>
          <w:tcPr>
            <w:tcW w:type="dxa" w:w="3168"/>
            <w:tcMar>
              <w:top w:w="140" w:type="dxa"/>
              <w:bottom w:w="140" w:type="dxa"/>
              <w:left w:w="140" w:type="dxa"/>
              <w:right w:w="140" w:type="dxa"/>
            </w:tcMar>
            <w:shd w:fill="F8FAFC"/>
          </w:tcPr>
          <w:p>
            <w:r>
              <w:rPr>
                <w:rFonts w:ascii="Arial" w:hAnsi="Arial"/>
                <w:color w:val="0F172A"/>
                <w:sz w:val="18"/>
              </w:rPr>
              <w:t>Assignment &amp; Artwork Submission</w:t>
            </w:r>
          </w:p>
        </w:tc>
        <w:tc>
          <w:tcPr>
            <w:tcW w:type="dxa" w:w="1872"/>
            <w:tcMar>
              <w:top w:w="140" w:type="dxa"/>
              <w:bottom w:w="140" w:type="dxa"/>
              <w:left w:w="140" w:type="dxa"/>
              <w:right w:w="140" w:type="dxa"/>
            </w:tcMar>
            <w:shd w:fill="F8FAFC"/>
          </w:tcPr>
          <w:p>
            <w:r>
              <w:rPr>
                <w:rFonts w:ascii="Arial" w:hAnsi="Arial"/>
                <w:b/>
                <w:color w:val="EA580C"/>
                <w:sz w:val="18"/>
              </w:rPr>
              <w:t>+100 to +500 XP</w:t>
            </w:r>
          </w:p>
        </w:tc>
        <w:tc>
          <w:tcPr>
            <w:tcW w:type="dxa" w:w="4608"/>
            <w:tcMar>
              <w:top w:w="140" w:type="dxa"/>
              <w:bottom w:w="140" w:type="dxa"/>
              <w:left w:w="140" w:type="dxa"/>
              <w:right w:w="140" w:type="dxa"/>
            </w:tcMar>
            <w:shd w:fill="F8FAFC"/>
          </w:tcPr>
          <w:p>
            <w:r>
              <w:rPr>
                <w:rFonts w:ascii="Arial" w:hAnsi="Arial"/>
                <w:color w:val="0F172A"/>
                <w:sz w:val="18"/>
              </w:rPr>
              <w:t>Admin inspects uploaded artwork photos/videos and assigns custom points upon approval.</w:t>
            </w:r>
          </w:p>
        </w:tc>
      </w:tr>
      <w:tr>
        <w:tc>
          <w:tcPr>
            <w:tcW w:type="dxa" w:w="3168"/>
            <w:tcMar>
              <w:top w:w="140" w:type="dxa"/>
              <w:bottom w:w="140" w:type="dxa"/>
              <w:left w:w="140" w:type="dxa"/>
              <w:right w:w="140" w:type="dxa"/>
            </w:tcMar>
            <w:shd w:fill="FFFFFF"/>
          </w:tcPr>
          <w:p>
            <w:r>
              <w:rPr>
                <w:rFonts w:ascii="Arial" w:hAnsi="Arial"/>
                <w:color w:val="0F172A"/>
                <w:sz w:val="18"/>
              </w:rPr>
              <w:t>Roadmap Milestone Completion</w:t>
            </w:r>
          </w:p>
        </w:tc>
        <w:tc>
          <w:tcPr>
            <w:tcW w:type="dxa" w:w="1872"/>
            <w:tcMar>
              <w:top w:w="140" w:type="dxa"/>
              <w:bottom w:w="140" w:type="dxa"/>
              <w:left w:w="140" w:type="dxa"/>
              <w:right w:w="140" w:type="dxa"/>
            </w:tcMar>
            <w:shd w:fill="FFFFFF"/>
          </w:tcPr>
          <w:p>
            <w:r>
              <w:rPr>
                <w:rFonts w:ascii="Arial" w:hAnsi="Arial"/>
                <w:b/>
                <w:color w:val="EA580C"/>
                <w:sz w:val="18"/>
              </w:rPr>
              <w:t>+250 to +1,000 XP</w:t>
            </w:r>
          </w:p>
        </w:tc>
        <w:tc>
          <w:tcPr>
            <w:tcW w:type="dxa" w:w="4608"/>
            <w:tcMar>
              <w:top w:w="140" w:type="dxa"/>
              <w:bottom w:w="140" w:type="dxa"/>
              <w:left w:w="140" w:type="dxa"/>
              <w:right w:w="140" w:type="dxa"/>
            </w:tcMar>
            <w:shd w:fill="FFFFFF"/>
          </w:tcPr>
          <w:p>
            <w:r>
              <w:rPr>
                <w:rFonts w:ascii="Arial" w:hAnsi="Arial"/>
                <w:color w:val="0F172A"/>
                <w:sz w:val="18"/>
              </w:rPr>
              <w:t>Awarded when a student completes journey milestones (e.g. First Ocean Wave Clock, Bridal Preservation).</w:t>
            </w:r>
          </w:p>
        </w:tc>
      </w:tr>
      <w:tr>
        <w:tc>
          <w:tcPr>
            <w:tcW w:type="dxa" w:w="3168"/>
            <w:tcMar>
              <w:top w:w="140" w:type="dxa"/>
              <w:bottom w:w="140" w:type="dxa"/>
              <w:left w:w="140" w:type="dxa"/>
              <w:right w:w="140" w:type="dxa"/>
            </w:tcMar>
            <w:shd w:fill="F8FAFC"/>
          </w:tcPr>
          <w:p>
            <w:r>
              <w:rPr>
                <w:rFonts w:ascii="Arial" w:hAnsi="Arial"/>
                <w:color w:val="0F172A"/>
                <w:sz w:val="18"/>
              </w:rPr>
              <w:t>Course &amp; Module Completion</w:t>
            </w:r>
          </w:p>
        </w:tc>
        <w:tc>
          <w:tcPr>
            <w:tcW w:type="dxa" w:w="1872"/>
            <w:tcMar>
              <w:top w:w="140" w:type="dxa"/>
              <w:bottom w:w="140" w:type="dxa"/>
              <w:left w:w="140" w:type="dxa"/>
              <w:right w:w="140" w:type="dxa"/>
            </w:tcMar>
            <w:shd w:fill="F8FAFC"/>
          </w:tcPr>
          <w:p>
            <w:r>
              <w:rPr>
                <w:rFonts w:ascii="Arial" w:hAnsi="Arial"/>
                <w:b/>
                <w:color w:val="EA580C"/>
                <w:sz w:val="18"/>
              </w:rPr>
              <w:t>+50 to +200 XP</w:t>
            </w:r>
          </w:p>
        </w:tc>
        <w:tc>
          <w:tcPr>
            <w:tcW w:type="dxa" w:w="4608"/>
            <w:tcMar>
              <w:top w:w="140" w:type="dxa"/>
              <w:bottom w:w="140" w:type="dxa"/>
              <w:left w:w="140" w:type="dxa"/>
              <w:right w:w="140" w:type="dxa"/>
            </w:tcMar>
            <w:shd w:fill="F8FAFC"/>
          </w:tcPr>
          <w:p>
            <w:r>
              <w:rPr>
                <w:rFonts w:ascii="Arial" w:hAnsi="Arial"/>
                <w:color w:val="0F172A"/>
                <w:sz w:val="18"/>
              </w:rPr>
              <w:t>Automatically awarded when video lessons, safety tutorials, and tests are completed.</w:t>
            </w:r>
          </w:p>
        </w:tc>
      </w:tr>
      <w:tr>
        <w:tc>
          <w:tcPr>
            <w:tcW w:type="dxa" w:w="3168"/>
            <w:tcMar>
              <w:top w:w="140" w:type="dxa"/>
              <w:bottom w:w="140" w:type="dxa"/>
              <w:left w:w="140" w:type="dxa"/>
              <w:right w:w="140" w:type="dxa"/>
            </w:tcMar>
            <w:shd w:fill="FFFFFF"/>
          </w:tcPr>
          <w:p>
            <w:r>
              <w:rPr>
                <w:rFonts w:ascii="Arial" w:hAnsi="Arial"/>
                <w:color w:val="0F172A"/>
                <w:sz w:val="18"/>
              </w:rPr>
              <w:t>Portfolio Artwork Upload</w:t>
            </w:r>
          </w:p>
        </w:tc>
        <w:tc>
          <w:tcPr>
            <w:tcW w:type="dxa" w:w="1872"/>
            <w:tcMar>
              <w:top w:w="140" w:type="dxa"/>
              <w:bottom w:w="140" w:type="dxa"/>
              <w:left w:w="140" w:type="dxa"/>
              <w:right w:w="140" w:type="dxa"/>
            </w:tcMar>
            <w:shd w:fill="FFFFFF"/>
          </w:tcPr>
          <w:p>
            <w:r>
              <w:rPr>
                <w:rFonts w:ascii="Arial" w:hAnsi="Arial"/>
                <w:b/>
                <w:color w:val="EA580C"/>
                <w:sz w:val="18"/>
              </w:rPr>
              <w:t>+150 XP</w:t>
            </w:r>
          </w:p>
        </w:tc>
        <w:tc>
          <w:tcPr>
            <w:tcW w:type="dxa" w:w="4608"/>
            <w:tcMar>
              <w:top w:w="140" w:type="dxa"/>
              <w:bottom w:w="140" w:type="dxa"/>
              <w:left w:w="140" w:type="dxa"/>
              <w:right w:w="140" w:type="dxa"/>
            </w:tcMar>
            <w:shd w:fill="FFFFFF"/>
          </w:tcPr>
          <w:p>
            <w:r>
              <w:rPr>
                <w:rFonts w:ascii="Arial" w:hAnsi="Arial"/>
                <w:color w:val="0F172A"/>
                <w:sz w:val="18"/>
              </w:rPr>
              <w:t>Granted when student uploads high-res finished pieces with technique tags to their public artist portfolio.</w:t>
            </w:r>
          </w:p>
        </w:tc>
      </w:tr>
      <w:tr>
        <w:tc>
          <w:tcPr>
            <w:tcW w:type="dxa" w:w="3168"/>
            <w:tcMar>
              <w:top w:w="140" w:type="dxa"/>
              <w:bottom w:w="140" w:type="dxa"/>
              <w:left w:w="140" w:type="dxa"/>
              <w:right w:w="140" w:type="dxa"/>
            </w:tcMar>
            <w:shd w:fill="F8FAFC"/>
          </w:tcPr>
          <w:p>
            <w:r>
              <w:rPr>
                <w:rFonts w:ascii="Arial" w:hAnsi="Arial"/>
                <w:color w:val="0F172A"/>
                <w:sz w:val="18"/>
              </w:rPr>
              <w:t>Real Client Sales Record</w:t>
            </w:r>
          </w:p>
        </w:tc>
        <w:tc>
          <w:tcPr>
            <w:tcW w:type="dxa" w:w="1872"/>
            <w:tcMar>
              <w:top w:w="140" w:type="dxa"/>
              <w:bottom w:w="140" w:type="dxa"/>
              <w:left w:w="140" w:type="dxa"/>
              <w:right w:w="140" w:type="dxa"/>
            </w:tcMar>
            <w:shd w:fill="F8FAFC"/>
          </w:tcPr>
          <w:p>
            <w:r>
              <w:rPr>
                <w:rFonts w:ascii="Arial" w:hAnsi="Arial"/>
                <w:b/>
                <w:color w:val="EA580C"/>
                <w:sz w:val="18"/>
              </w:rPr>
              <w:t>+500 XP</w:t>
            </w:r>
          </w:p>
        </w:tc>
        <w:tc>
          <w:tcPr>
            <w:tcW w:type="dxa" w:w="4608"/>
            <w:tcMar>
              <w:top w:w="140" w:type="dxa"/>
              <w:bottom w:w="140" w:type="dxa"/>
              <w:left w:w="140" w:type="dxa"/>
              <w:right w:w="140" w:type="dxa"/>
            </w:tcMar>
            <w:shd w:fill="F8FAFC"/>
          </w:tcPr>
          <w:p>
            <w:r>
              <w:rPr>
                <w:rFonts w:ascii="Arial" w:hAnsi="Arial"/>
                <w:color w:val="0F172A"/>
                <w:sz w:val="18"/>
              </w:rPr>
              <w:t>Logged when student registers an actual commercial sale (e.g. ₹5,000 custom geode clock order) in the sales tracker.</w:t>
            </w:r>
          </w:p>
        </w:tc>
      </w:tr>
      <w:tr>
        <w:tc>
          <w:tcPr>
            <w:tcW w:type="dxa" w:w="3168"/>
            <w:tcMar>
              <w:top w:w="140" w:type="dxa"/>
              <w:bottom w:w="140" w:type="dxa"/>
              <w:left w:w="140" w:type="dxa"/>
              <w:right w:w="140" w:type="dxa"/>
            </w:tcMar>
            <w:shd w:fill="FFFFFF"/>
          </w:tcPr>
          <w:p>
            <w:r>
              <w:rPr>
                <w:rFonts w:ascii="Arial" w:hAnsi="Arial"/>
                <w:color w:val="0F172A"/>
                <w:sz w:val="18"/>
              </w:rPr>
              <w:t>Daily Activity &amp; Learning Streak</w:t>
            </w:r>
          </w:p>
        </w:tc>
        <w:tc>
          <w:tcPr>
            <w:tcW w:type="dxa" w:w="1872"/>
            <w:tcMar>
              <w:top w:w="140" w:type="dxa"/>
              <w:bottom w:w="140" w:type="dxa"/>
              <w:left w:w="140" w:type="dxa"/>
              <w:right w:w="140" w:type="dxa"/>
            </w:tcMar>
            <w:shd w:fill="FFFFFF"/>
          </w:tcPr>
          <w:p>
            <w:r>
              <w:rPr>
                <w:rFonts w:ascii="Arial" w:hAnsi="Arial"/>
                <w:b/>
                <w:color w:val="EA580C"/>
                <w:sz w:val="18"/>
              </w:rPr>
              <w:t>+50 XP / day</w:t>
            </w:r>
          </w:p>
        </w:tc>
        <w:tc>
          <w:tcPr>
            <w:tcW w:type="dxa" w:w="4608"/>
            <w:tcMar>
              <w:top w:w="140" w:type="dxa"/>
              <w:bottom w:w="140" w:type="dxa"/>
              <w:left w:w="140" w:type="dxa"/>
              <w:right w:w="140" w:type="dxa"/>
            </w:tcMar>
            <w:shd w:fill="FFFFFF"/>
          </w:tcPr>
          <w:p>
            <w:r>
              <w:rPr>
                <w:rFonts w:ascii="Arial" w:hAnsi="Arial"/>
                <w:color w:val="0F172A"/>
                <w:sz w:val="18"/>
              </w:rPr>
              <w:t>Awarded for consecutive daily logins and course activity to encourage daily habit formation.</w:t>
            </w:r>
          </w:p>
        </w:tc>
      </w:tr>
    </w:tbl>
    <w:p>
      <w:pPr>
        <w:spacing w:after="240"/>
      </w:pPr>
    </w:p>
    <w:p>
      <w:pPr>
        <w:pStyle w:val="Heading1"/>
      </w:pPr>
      <w:r>
        <w:rPr>
          <w:rFonts w:ascii="Arial" w:hAnsi="Arial"/>
          <w:b/>
          <w:color w:val="0F172A"/>
          <w:sz w:val="28"/>
        </w:rPr>
        <w:t>4. Dynamic Level Tiers &amp; Progression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tcMar>
              <w:top w:w="140" w:type="dxa"/>
              <w:bottom w:w="140" w:type="dxa"/>
              <w:left w:w="120" w:type="dxa"/>
              <w:right w:w="120" w:type="dxa"/>
            </w:tcMar>
            <w:shd w:fill="0F172A"/>
          </w:tcPr>
          <w:p>
            <w:r>
              <w:rPr>
                <w:rFonts w:ascii="Arial" w:hAnsi="Arial"/>
                <w:b/>
                <w:color w:val="FFFFFF"/>
                <w:sz w:val="18"/>
              </w:rPr>
              <w:t>Tier Code</w:t>
            </w:r>
          </w:p>
        </w:tc>
        <w:tc>
          <w:tcPr>
            <w:tcW w:type="dxa" w:w="3168"/>
            <w:tcMar>
              <w:top w:w="140" w:type="dxa"/>
              <w:bottom w:w="140" w:type="dxa"/>
              <w:left w:w="120" w:type="dxa"/>
              <w:right w:w="120" w:type="dxa"/>
            </w:tcMar>
            <w:shd w:fill="0F172A"/>
          </w:tcPr>
          <w:p>
            <w:r>
              <w:rPr>
                <w:rFonts w:ascii="Arial" w:hAnsi="Arial"/>
                <w:b/>
                <w:color w:val="FFFFFF"/>
                <w:sz w:val="18"/>
              </w:rPr>
              <w:t>Membership Level Name</w:t>
            </w:r>
          </w:p>
        </w:tc>
        <w:tc>
          <w:tcPr>
            <w:tcW w:type="dxa" w:w="1584"/>
            <w:tcMar>
              <w:top w:w="140" w:type="dxa"/>
              <w:bottom w:w="140" w:type="dxa"/>
              <w:left w:w="120" w:type="dxa"/>
              <w:right w:w="120" w:type="dxa"/>
            </w:tcMar>
            <w:shd w:fill="0F172A"/>
          </w:tcPr>
          <w:p>
            <w:r>
              <w:rPr>
                <w:rFonts w:ascii="Arial" w:hAnsi="Arial"/>
                <w:b/>
                <w:color w:val="FFFFFF"/>
                <w:sz w:val="18"/>
              </w:rPr>
              <w:t>Points (XP)</w:t>
            </w:r>
          </w:p>
        </w:tc>
        <w:tc>
          <w:tcPr>
            <w:tcW w:type="dxa" w:w="864"/>
            <w:tcMar>
              <w:top w:w="140" w:type="dxa"/>
              <w:bottom w:w="140" w:type="dxa"/>
              <w:left w:w="120" w:type="dxa"/>
              <w:right w:w="120" w:type="dxa"/>
            </w:tcMar>
            <w:shd w:fill="0F172A"/>
          </w:tcPr>
          <w:p>
            <w:r>
              <w:rPr>
                <w:rFonts w:ascii="Arial" w:hAnsi="Arial"/>
                <w:b/>
                <w:color w:val="FFFFFF"/>
                <w:sz w:val="18"/>
              </w:rPr>
              <w:t>Icon</w:t>
            </w:r>
          </w:p>
        </w:tc>
        <w:tc>
          <w:tcPr>
            <w:tcW w:type="dxa" w:w="3312"/>
            <w:tcMar>
              <w:top w:w="140" w:type="dxa"/>
              <w:bottom w:w="140" w:type="dxa"/>
              <w:left w:w="120" w:type="dxa"/>
              <w:right w:w="120" w:type="dxa"/>
            </w:tcMar>
            <w:shd w:fill="0F172A"/>
          </w:tcPr>
          <w:p>
            <w:r>
              <w:rPr>
                <w:rFonts w:ascii="Arial" w:hAnsi="Arial"/>
                <w:b/>
                <w:color w:val="FFFFFF"/>
                <w:sz w:val="18"/>
              </w:rPr>
              <w:t>Milestone Focus &amp; Capabilities</w:t>
            </w:r>
          </w:p>
        </w:tc>
      </w:tr>
      <w:tr>
        <w:tc>
          <w:tcPr>
            <w:tcW w:type="dxa" w:w="1296"/>
            <w:tcMar>
              <w:top w:w="140" w:type="dxa"/>
              <w:bottom w:w="140" w:type="dxa"/>
              <w:left w:w="120" w:type="dxa"/>
              <w:right w:w="120" w:type="dxa"/>
            </w:tcMar>
            <w:shd w:fill="F8FAFC"/>
          </w:tcPr>
          <w:p>
            <w:r>
              <w:rPr>
                <w:rFonts w:ascii="Arial" w:hAnsi="Arial"/>
                <w:b/>
                <w:color w:val="0F172A"/>
                <w:sz w:val="17"/>
              </w:rPr>
              <w:t>L0</w:t>
            </w:r>
          </w:p>
        </w:tc>
        <w:tc>
          <w:tcPr>
            <w:tcW w:type="dxa" w:w="3168"/>
            <w:tcMar>
              <w:top w:w="140" w:type="dxa"/>
              <w:bottom w:w="140" w:type="dxa"/>
              <w:left w:w="120" w:type="dxa"/>
              <w:right w:w="120" w:type="dxa"/>
            </w:tcMar>
            <w:shd w:fill="F8FAFC"/>
          </w:tcPr>
          <w:p>
            <w:r>
              <w:rPr>
                <w:rFonts w:ascii="Arial" w:hAnsi="Arial"/>
                <w:color w:val="0F172A"/>
                <w:sz w:val="17"/>
              </w:rPr>
              <w:t>Fast Track: Resin FastStart</w:t>
            </w:r>
          </w:p>
        </w:tc>
        <w:tc>
          <w:tcPr>
            <w:tcW w:type="dxa" w:w="1584"/>
            <w:tcMar>
              <w:top w:w="140" w:type="dxa"/>
              <w:bottom w:w="140" w:type="dxa"/>
              <w:left w:w="120" w:type="dxa"/>
              <w:right w:w="120" w:type="dxa"/>
            </w:tcMar>
            <w:shd w:fill="F8FAFC"/>
          </w:tcPr>
          <w:p>
            <w:r>
              <w:rPr>
                <w:rFonts w:ascii="Arial" w:hAnsi="Arial"/>
                <w:b/>
                <w:color w:val="EA580C"/>
                <w:sz w:val="17"/>
              </w:rPr>
              <w:t>0 – 499 XP</w:t>
            </w:r>
          </w:p>
        </w:tc>
        <w:tc>
          <w:tcPr>
            <w:tcW w:type="dxa" w:w="864"/>
            <w:tcMar>
              <w:top w:w="140" w:type="dxa"/>
              <w:bottom w:w="140" w:type="dxa"/>
              <w:left w:w="120" w:type="dxa"/>
              <w:right w:w="120" w:type="dxa"/>
            </w:tcMar>
            <w:shd w:fill="F8FAFC"/>
          </w:tcPr>
          <w:p>
            <w:r>
              <w:rPr>
                <w:rFonts w:ascii="Arial" w:hAnsi="Arial"/>
                <w:color w:val="0F172A"/>
                <w:sz w:val="17"/>
              </w:rPr>
              <w:t>⚡</w:t>
            </w:r>
          </w:p>
        </w:tc>
        <w:tc>
          <w:tcPr>
            <w:tcW w:type="dxa" w:w="3312"/>
            <w:tcMar>
              <w:top w:w="140" w:type="dxa"/>
              <w:bottom w:w="140" w:type="dxa"/>
              <w:left w:w="120" w:type="dxa"/>
              <w:right w:w="120" w:type="dxa"/>
            </w:tcMar>
            <w:shd w:fill="F8FAFC"/>
          </w:tcPr>
          <w:p>
            <w:r>
              <w:rPr>
                <w:rFonts w:ascii="Arial" w:hAnsi="Arial"/>
                <w:color w:val="0F172A"/>
                <w:sz w:val="17"/>
              </w:rPr>
              <w:t>Foundations, chemical ratios, bubble control, and first practical resin pours.</w:t>
            </w:r>
          </w:p>
        </w:tc>
      </w:tr>
      <w:tr>
        <w:tc>
          <w:tcPr>
            <w:tcW w:type="dxa" w:w="1296"/>
            <w:tcMar>
              <w:top w:w="140" w:type="dxa"/>
              <w:bottom w:w="140" w:type="dxa"/>
              <w:left w:w="120" w:type="dxa"/>
              <w:right w:w="120" w:type="dxa"/>
            </w:tcMar>
            <w:shd w:fill="FFFFFF"/>
          </w:tcPr>
          <w:p>
            <w:r>
              <w:rPr>
                <w:rFonts w:ascii="Arial" w:hAnsi="Arial"/>
                <w:b/>
                <w:color w:val="0F172A"/>
                <w:sz w:val="17"/>
              </w:rPr>
              <w:t>L1</w:t>
            </w:r>
          </w:p>
        </w:tc>
        <w:tc>
          <w:tcPr>
            <w:tcW w:type="dxa" w:w="3168"/>
            <w:tcMar>
              <w:top w:w="140" w:type="dxa"/>
              <w:bottom w:w="140" w:type="dxa"/>
              <w:left w:w="120" w:type="dxa"/>
              <w:right w:w="120" w:type="dxa"/>
            </w:tcMar>
            <w:shd w:fill="FFFFFF"/>
          </w:tcPr>
          <w:p>
            <w:r>
              <w:rPr>
                <w:rFonts w:ascii="Arial" w:hAnsi="Arial"/>
                <w:color w:val="0F172A"/>
                <w:sz w:val="17"/>
              </w:rPr>
              <w:t>Silver: Explore Membership</w:t>
            </w:r>
          </w:p>
        </w:tc>
        <w:tc>
          <w:tcPr>
            <w:tcW w:type="dxa" w:w="1584"/>
            <w:tcMar>
              <w:top w:w="140" w:type="dxa"/>
              <w:bottom w:w="140" w:type="dxa"/>
              <w:left w:w="120" w:type="dxa"/>
              <w:right w:w="120" w:type="dxa"/>
            </w:tcMar>
            <w:shd w:fill="FFFFFF"/>
          </w:tcPr>
          <w:p>
            <w:r>
              <w:rPr>
                <w:rFonts w:ascii="Arial" w:hAnsi="Arial"/>
                <w:b/>
                <w:color w:val="EA580C"/>
                <w:sz w:val="17"/>
              </w:rPr>
              <w:t>500 – 4,999 XP</w:t>
            </w:r>
          </w:p>
        </w:tc>
        <w:tc>
          <w:tcPr>
            <w:tcW w:type="dxa" w:w="864"/>
            <w:tcMar>
              <w:top w:w="140" w:type="dxa"/>
              <w:bottom w:w="140" w:type="dxa"/>
              <w:left w:w="120" w:type="dxa"/>
              <w:right w:w="120" w:type="dxa"/>
            </w:tcMar>
            <w:shd w:fill="FFFFFF"/>
          </w:tcPr>
          <w:p>
            <w:r>
              <w:rPr>
                <w:rFonts w:ascii="Arial" w:hAnsi="Arial"/>
                <w:color w:val="0F172A"/>
                <w:sz w:val="17"/>
              </w:rPr>
              <w:t>🥈</w:t>
            </w:r>
          </w:p>
        </w:tc>
        <w:tc>
          <w:tcPr>
            <w:tcW w:type="dxa" w:w="3312"/>
            <w:tcMar>
              <w:top w:w="140" w:type="dxa"/>
              <w:bottom w:w="140" w:type="dxa"/>
              <w:left w:w="120" w:type="dxa"/>
              <w:right w:w="120" w:type="dxa"/>
            </w:tcMar>
            <w:shd w:fill="FFFFFF"/>
          </w:tcPr>
          <w:p>
            <w:r>
              <w:rPr>
                <w:rFonts w:ascii="Arial" w:hAnsi="Arial"/>
                <w:color w:val="0F172A"/>
                <w:sz w:val="17"/>
              </w:rPr>
              <w:t>Core techniques, wave lacing, building signature style, and closing first customer sale.</w:t>
            </w:r>
          </w:p>
        </w:tc>
      </w:tr>
      <w:tr>
        <w:tc>
          <w:tcPr>
            <w:tcW w:type="dxa" w:w="1296"/>
            <w:tcMar>
              <w:top w:w="140" w:type="dxa"/>
              <w:bottom w:w="140" w:type="dxa"/>
              <w:left w:w="120" w:type="dxa"/>
              <w:right w:w="120" w:type="dxa"/>
            </w:tcMar>
            <w:shd w:fill="F8FAFC"/>
          </w:tcPr>
          <w:p>
            <w:r>
              <w:rPr>
                <w:rFonts w:ascii="Arial" w:hAnsi="Arial"/>
                <w:b/>
                <w:color w:val="0F172A"/>
                <w:sz w:val="17"/>
              </w:rPr>
              <w:t>L2</w:t>
            </w:r>
          </w:p>
        </w:tc>
        <w:tc>
          <w:tcPr>
            <w:tcW w:type="dxa" w:w="3168"/>
            <w:tcMar>
              <w:top w:w="140" w:type="dxa"/>
              <w:bottom w:w="140" w:type="dxa"/>
              <w:left w:w="120" w:type="dxa"/>
              <w:right w:w="120" w:type="dxa"/>
            </w:tcMar>
            <w:shd w:fill="F8FAFC"/>
          </w:tcPr>
          <w:p>
            <w:r>
              <w:rPr>
                <w:rFonts w:ascii="Arial" w:hAnsi="Arial"/>
                <w:color w:val="0F172A"/>
                <w:sz w:val="17"/>
              </w:rPr>
              <w:t>Gold: Master Membership</w:t>
            </w:r>
          </w:p>
        </w:tc>
        <w:tc>
          <w:tcPr>
            <w:tcW w:type="dxa" w:w="1584"/>
            <w:tcMar>
              <w:top w:w="140" w:type="dxa"/>
              <w:bottom w:w="140" w:type="dxa"/>
              <w:left w:w="120" w:type="dxa"/>
              <w:right w:w="120" w:type="dxa"/>
            </w:tcMar>
            <w:shd w:fill="F8FAFC"/>
          </w:tcPr>
          <w:p>
            <w:r>
              <w:rPr>
                <w:rFonts w:ascii="Arial" w:hAnsi="Arial"/>
                <w:b/>
                <w:color w:val="EA580C"/>
                <w:sz w:val="17"/>
              </w:rPr>
              <w:t>5,000 – 9,999 XP</w:t>
            </w:r>
          </w:p>
        </w:tc>
        <w:tc>
          <w:tcPr>
            <w:tcW w:type="dxa" w:w="864"/>
            <w:tcMar>
              <w:top w:w="140" w:type="dxa"/>
              <w:bottom w:w="140" w:type="dxa"/>
              <w:left w:w="120" w:type="dxa"/>
              <w:right w:w="120" w:type="dxa"/>
            </w:tcMar>
            <w:shd w:fill="F8FAFC"/>
          </w:tcPr>
          <w:p>
            <w:r>
              <w:rPr>
                <w:rFonts w:ascii="Arial" w:hAnsi="Arial"/>
                <w:color w:val="0F172A"/>
                <w:sz w:val="17"/>
              </w:rPr>
              <w:t>🏆</w:t>
            </w:r>
          </w:p>
        </w:tc>
        <w:tc>
          <w:tcPr>
            <w:tcW w:type="dxa" w:w="3312"/>
            <w:tcMar>
              <w:top w:w="140" w:type="dxa"/>
              <w:bottom w:w="140" w:type="dxa"/>
              <w:left w:w="120" w:type="dxa"/>
              <w:right w:w="120" w:type="dxa"/>
            </w:tcMar>
            <w:shd w:fill="F8FAFC"/>
          </w:tcPr>
          <w:p>
            <w:r>
              <w:rPr>
                <w:rFonts w:ascii="Arial" w:hAnsi="Arial"/>
                <w:color w:val="0F172A"/>
                <w:sz w:val="17"/>
              </w:rPr>
              <w:t>High-ticket geode clocks, bridal preservation garlands, and consistent monthly revenue.</w:t>
            </w:r>
          </w:p>
        </w:tc>
      </w:tr>
      <w:tr>
        <w:tc>
          <w:tcPr>
            <w:tcW w:type="dxa" w:w="1296"/>
            <w:tcMar>
              <w:top w:w="140" w:type="dxa"/>
              <w:bottom w:w="140" w:type="dxa"/>
              <w:left w:w="120" w:type="dxa"/>
              <w:right w:w="120" w:type="dxa"/>
            </w:tcMar>
            <w:shd w:fill="FFFFFF"/>
          </w:tcPr>
          <w:p>
            <w:r>
              <w:rPr>
                <w:rFonts w:ascii="Arial" w:hAnsi="Arial"/>
                <w:b/>
                <w:color w:val="0F172A"/>
                <w:sz w:val="17"/>
              </w:rPr>
              <w:t>L3</w:t>
            </w:r>
          </w:p>
        </w:tc>
        <w:tc>
          <w:tcPr>
            <w:tcW w:type="dxa" w:w="3168"/>
            <w:tcMar>
              <w:top w:w="140" w:type="dxa"/>
              <w:bottom w:w="140" w:type="dxa"/>
              <w:left w:w="120" w:type="dxa"/>
              <w:right w:w="120" w:type="dxa"/>
            </w:tcMar>
            <w:shd w:fill="FFFFFF"/>
          </w:tcPr>
          <w:p>
            <w:r>
              <w:rPr>
                <w:rFonts w:ascii="Arial" w:hAnsi="Arial"/>
                <w:color w:val="0F172A"/>
                <w:sz w:val="17"/>
              </w:rPr>
              <w:t>Diamond: Renaissance Club</w:t>
            </w:r>
          </w:p>
        </w:tc>
        <w:tc>
          <w:tcPr>
            <w:tcW w:type="dxa" w:w="1584"/>
            <w:tcMar>
              <w:top w:w="140" w:type="dxa"/>
              <w:bottom w:w="140" w:type="dxa"/>
              <w:left w:w="120" w:type="dxa"/>
              <w:right w:w="120" w:type="dxa"/>
            </w:tcMar>
            <w:shd w:fill="FFFFFF"/>
          </w:tcPr>
          <w:p>
            <w:r>
              <w:rPr>
                <w:rFonts w:ascii="Arial" w:hAnsi="Arial"/>
                <w:b/>
                <w:color w:val="EA580C"/>
                <w:sz w:val="17"/>
              </w:rPr>
              <w:t>10,000 – 49,999 XP</w:t>
            </w:r>
          </w:p>
        </w:tc>
        <w:tc>
          <w:tcPr>
            <w:tcW w:type="dxa" w:w="864"/>
            <w:tcMar>
              <w:top w:w="140" w:type="dxa"/>
              <w:bottom w:w="140" w:type="dxa"/>
              <w:left w:w="120" w:type="dxa"/>
              <w:right w:w="120" w:type="dxa"/>
            </w:tcMar>
            <w:shd w:fill="FFFFFF"/>
          </w:tcPr>
          <w:p>
            <w:r>
              <w:rPr>
                <w:rFonts w:ascii="Arial" w:hAnsi="Arial"/>
                <w:color w:val="0F172A"/>
                <w:sz w:val="17"/>
              </w:rPr>
              <w:t>💎</w:t>
            </w:r>
          </w:p>
        </w:tc>
        <w:tc>
          <w:tcPr>
            <w:tcW w:type="dxa" w:w="3312"/>
            <w:tcMar>
              <w:top w:w="140" w:type="dxa"/>
              <w:bottom w:w="140" w:type="dxa"/>
              <w:left w:w="120" w:type="dxa"/>
              <w:right w:w="120" w:type="dxa"/>
            </w:tcMar>
            <w:shd w:fill="FFFFFF"/>
          </w:tcPr>
          <w:p>
            <w:r>
              <w:rPr>
                <w:rFonts w:ascii="Arial" w:hAnsi="Arial"/>
                <w:color w:val="0F172A"/>
                <w:sz w:val="17"/>
              </w:rPr>
              <w:t>Scaling to ₹50,000+/month, luxury river tables, corporate orders, and branding.</w:t>
            </w:r>
          </w:p>
        </w:tc>
      </w:tr>
      <w:tr>
        <w:tc>
          <w:tcPr>
            <w:tcW w:type="dxa" w:w="1296"/>
            <w:tcMar>
              <w:top w:w="140" w:type="dxa"/>
              <w:bottom w:w="140" w:type="dxa"/>
              <w:left w:w="120" w:type="dxa"/>
              <w:right w:w="120" w:type="dxa"/>
            </w:tcMar>
            <w:shd w:fill="F8FAFC"/>
          </w:tcPr>
          <w:p>
            <w:r>
              <w:rPr>
                <w:rFonts w:ascii="Arial" w:hAnsi="Arial"/>
                <w:b/>
                <w:color w:val="0F172A"/>
                <w:sz w:val="17"/>
              </w:rPr>
              <w:t>L3+</w:t>
            </w:r>
          </w:p>
        </w:tc>
        <w:tc>
          <w:tcPr>
            <w:tcW w:type="dxa" w:w="3168"/>
            <w:tcMar>
              <w:top w:w="140" w:type="dxa"/>
              <w:bottom w:w="140" w:type="dxa"/>
              <w:left w:w="120" w:type="dxa"/>
              <w:right w:w="120" w:type="dxa"/>
            </w:tcMar>
            <w:shd w:fill="F8FAFC"/>
          </w:tcPr>
          <w:p>
            <w:r>
              <w:rPr>
                <w:rFonts w:ascii="Arial" w:hAnsi="Arial"/>
                <w:color w:val="0F172A"/>
                <w:sz w:val="17"/>
              </w:rPr>
              <w:t>Masters Club: Artistry Pinnacle</w:t>
            </w:r>
          </w:p>
        </w:tc>
        <w:tc>
          <w:tcPr>
            <w:tcW w:type="dxa" w:w="1584"/>
            <w:tcMar>
              <w:top w:w="140" w:type="dxa"/>
              <w:bottom w:w="140" w:type="dxa"/>
              <w:left w:w="120" w:type="dxa"/>
              <w:right w:w="120" w:type="dxa"/>
            </w:tcMar>
            <w:shd w:fill="F8FAFC"/>
          </w:tcPr>
          <w:p>
            <w:r>
              <w:rPr>
                <w:rFonts w:ascii="Arial" w:hAnsi="Arial"/>
                <w:b/>
                <w:color w:val="EA580C"/>
                <w:sz w:val="17"/>
              </w:rPr>
              <w:t>50,000+ XP</w:t>
            </w:r>
          </w:p>
        </w:tc>
        <w:tc>
          <w:tcPr>
            <w:tcW w:type="dxa" w:w="864"/>
            <w:tcMar>
              <w:top w:w="140" w:type="dxa"/>
              <w:bottom w:w="140" w:type="dxa"/>
              <w:left w:w="120" w:type="dxa"/>
              <w:right w:w="120" w:type="dxa"/>
            </w:tcMar>
            <w:shd w:fill="F8FAFC"/>
          </w:tcPr>
          <w:p>
            <w:r>
              <w:rPr>
                <w:rFonts w:ascii="Arial" w:hAnsi="Arial"/>
                <w:color w:val="0F172A"/>
                <w:sz w:val="17"/>
              </w:rPr>
              <w:t>👑</w:t>
            </w:r>
          </w:p>
        </w:tc>
        <w:tc>
          <w:tcPr>
            <w:tcW w:type="dxa" w:w="3312"/>
            <w:tcMar>
              <w:top w:w="140" w:type="dxa"/>
              <w:bottom w:w="140" w:type="dxa"/>
              <w:left w:w="120" w:type="dxa"/>
              <w:right w:w="120" w:type="dxa"/>
            </w:tcMar>
            <w:shd w:fill="F8FAFC"/>
          </w:tcPr>
          <w:p>
            <w:r>
              <w:rPr>
                <w:rFonts w:ascii="Arial" w:hAnsi="Arial"/>
                <w:color w:val="0F172A"/>
                <w:sz w:val="17"/>
              </w:rPr>
              <w:t>Conducting offline workshops, community mentorship, and building a signature brand empire.</w:t>
            </w:r>
          </w:p>
        </w:tc>
      </w:tr>
    </w:tbl>
    <w:p>
      <w:pPr>
        <w:spacing w:after="240"/>
      </w:pPr>
    </w:p>
    <w:p>
      <w:pPr>
        <w:pStyle w:val="Heading1"/>
      </w:pPr>
      <w:r>
        <w:rPr>
          <w:rFonts w:ascii="Arial" w:hAnsi="Arial"/>
          <w:b/>
          <w:color w:val="0F172A"/>
          <w:sz w:val="28"/>
        </w:rPr>
        <w:t>5. Live Progress Bar Mathematical Formula</w:t>
      </w:r>
    </w:p>
    <w:p>
      <w:pPr>
        <w:spacing w:after="280"/>
      </w:pPr>
      <w:r>
        <w:t>The Student Dashboard calculates live percentage completion towards the next tier using this exact formula:</w:t>
        <w:br/>
        <w:br/>
        <w:t xml:space="preserve">   Progress % = [ (Current XP - Current Tier Min XP) / (Next Tier Min XP - Current Tier Min XP) ] × 100</w:t>
        <w:br/>
        <w:br/>
        <w:t>Practical Example:</w:t>
        <w:br/>
        <w:t>• Current Student XP: 3,200 XP</w:t>
        <w:br/>
        <w:t>• Current Tier (L1 Silver): Min = 500 XP</w:t>
        <w:br/>
        <w:t>• Next Tier (L2 Gold): Min = 5,000 XP</w:t>
        <w:br/>
        <w:t>• Math: (3,200 - 500) / (5,000 - 500) = 2,700 / 4,500 = 60.0%</w:t>
        <w:br/>
        <w:t>• Real-Time Display: Student sees '60% completed to Gold Membership' and '1,800 XP remaining to unlock Gold Tier (🏆)'.</w:t>
      </w:r>
    </w:p>
    <w:p>
      <w:pPr>
        <w:pStyle w:val="Heading1"/>
      </w:pPr>
      <w:r>
        <w:rPr>
          <w:rFonts w:ascii="Arial" w:hAnsi="Arial"/>
          <w:b/>
          <w:color w:val="0F172A"/>
          <w:sz w:val="28"/>
        </w:rPr>
        <w:t>6. Step-by-Step Workflow: Student vs. Admin</w:t>
      </w:r>
    </w:p>
    <w:p>
      <w:pPr>
        <w:spacing w:after="280"/>
      </w:pPr>
      <w:r>
        <w:t>STUDENT JOURNEY:</w:t>
        <w:br/>
        <w:t>1. Student logs in at /dashboard and sees their live points, level badge, streak count, and next milestone goal.</w:t>
        <w:br/>
        <w:t>2. Student completes an artwork homework assignment and uploads images/files on the Assignments page.</w:t>
        <w:br/>
        <w:t>3. When approved, student receives an immediate in-app celebration alert and awarded XP is credited to their profile.</w:t>
        <w:br/>
        <w:t>4. Student automatically climbs the community Leaderboard and unlocks higher tier permissions.</w:t>
        <w:br/>
        <w:br/>
        <w:t>ADMIN MANAGEMENT:</w:t>
        <w:br/>
        <w:t>1. Admin navigates to /admin/submissions to view pending student artwork.</w:t>
        <w:br/>
        <w:t>2. Admin inspects artwork, clicks 'Approve', and specifies the exact Points Awarded (e.g. 250 XP).</w:t>
        <w:br/>
        <w:t>3. Admin can manually adjust points, streaks, or assign custom student milestones from the Student Detail view.</w:t>
        <w:br/>
        <w:t>4. Admin can open /admin/level-settings to modify tier thresholds, names, and badge colors at any time.</w:t>
      </w:r>
    </w:p>
    <w:p>
      <w:pPr>
        <w:pStyle w:val="Heading1"/>
      </w:pPr>
      <w:r>
        <w:rPr>
          <w:rFonts w:ascii="Arial" w:hAnsi="Arial"/>
          <w:b/>
          <w:color w:val="0F172A"/>
          <w:sz w:val="28"/>
        </w:rPr>
        <w:t>7. Key Strategic Advantages for Ravishing Art Hub</w:t>
      </w:r>
    </w:p>
    <w:p>
      <w:r>
        <w:t>1. High Course Completion Rates: Students are incentivized through visual milestones and streak rewards to finish every course module.</w:t>
        <w:br/>
        <w:t>2. Real Business Skill Encouragement: Rewarding XP for logging customer sales connects learning directly with monetization.</w:t>
        <w:br/>
        <w:t>3. Complete Admin Autonomy: Tier boundaries and XP rules are 100% dynamic and configurable via the admin interface with zero developer dependency.</w:t>
        <w:br/>
        <w:t>4. Professional Certification Readiness: Points and verified milestone completions create a verifiable record for issuing authentic certificates.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