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AZURE DATA ENGINEERING</w:t>
      </w:r>
    </w:p>
    <w:p>
      <w:pPr>
        <w:jc w:val="center"/>
      </w:pPr>
      <w:r>
        <w:rPr>
          <w:b/>
          <w:color w:val="2471A3"/>
          <w:sz w:val="40"/>
        </w:rPr>
        <w:t>Detailed Learning Notes — Chapters 1 to 3</w:t>
      </w:r>
    </w:p>
    <w:p>
      <w:pPr>
        <w:jc w:val="center"/>
      </w:pPr>
      <w:r>
        <w:t>Based on the supplied course transcript • Beginner-friendly • Interview-focused • Practical</w:t>
      </w:r>
    </w:p>
    <w:p>
      <w:r>
        <w:br/>
      </w:r>
    </w:p>
    <w:tbl>
      <w:tblPr>
        <w:tblStyle w:val="TableGrid"/>
        <w:tblW w:type="auto" w:w="0"/>
        <w:tblLook w:firstColumn="1" w:firstRow="1" w:lastColumn="0" w:lastRow="0" w:noHBand="0" w:noVBand="1" w:val="04A0"/>
      </w:tblPr>
      <w:tblGrid>
        <w:gridCol w:w="10166"/>
      </w:tblGrid>
      <w:tr>
        <w:tc>
          <w:tcPr>
            <w:tcW w:type="dxa" w:w="10166"/>
            <w:shd w:fill="F4F6F7"/>
          </w:tcPr>
          <w:p>
            <w:r>
              <w:rPr>
                <w:b/>
              </w:rPr>
              <w:t xml:space="preserve">How to use these notes — </w:t>
            </w:r>
            <w:r>
              <w:t>Read the Simple Explanation first, then study the diagram/table, reproduce the practical example, and finish with the interview + revision sections. “Expanded explanation” content is added to make the course concepts easier to learn; it is not presented as a verbatim statement from the instructor.</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D6EAF8"/>
            <w:vAlign w:val="center"/>
          </w:tcPr>
          <w:p>
            <w:r>
              <w:rPr>
                <w:b/>
              </w:rPr>
              <w:t>Chapter</w:t>
            </w:r>
          </w:p>
        </w:tc>
        <w:tc>
          <w:tcPr>
            <w:tcW w:type="dxa" w:w="5083"/>
            <w:shd w:fill="D6EAF8"/>
            <w:vAlign w:val="center"/>
          </w:tcPr>
          <w:p>
            <w:r>
              <w:rPr>
                <w:b/>
              </w:rPr>
              <w:t>Coverage</w:t>
            </w:r>
          </w:p>
        </w:tc>
      </w:tr>
      <w:tr>
        <w:tc>
          <w:tcPr>
            <w:tcW w:type="dxa" w:w="5083"/>
            <w:vAlign w:val="top"/>
          </w:tcPr>
          <w:p>
            <w:r>
              <w:t>1. Azure &amp; Data Fundamentals</w:t>
            </w:r>
          </w:p>
        </w:tc>
        <w:tc>
          <w:tcPr>
            <w:tcW w:type="dxa" w:w="5083"/>
            <w:vAlign w:val="top"/>
          </w:tcPr>
          <w:p>
            <w:r>
              <w:t>Cloud, service models, resilience, Azure hierarchy, networking, data types, Azure SQL/Cosmos DB, Storage/ADLS</w:t>
            </w:r>
          </w:p>
        </w:tc>
      </w:tr>
      <w:tr>
        <w:tc>
          <w:tcPr>
            <w:tcW w:type="dxa" w:w="5083"/>
            <w:vAlign w:val="top"/>
          </w:tcPr>
          <w:p>
            <w:r>
              <w:t>2. ADF Core Fundamentals</w:t>
            </w:r>
          </w:p>
        </w:tc>
        <w:tc>
          <w:tcPr>
            <w:tcW w:type="dxa" w:w="5083"/>
            <w:vAlign w:val="top"/>
          </w:tcPr>
          <w:p>
            <w:r>
              <w:t>ETL/ELT, connectors, linked services, datasets, pipelines, Copy Activity, Studio, first pipeline</w:t>
            </w:r>
          </w:p>
        </w:tc>
      </w:tr>
      <w:tr>
        <w:tc>
          <w:tcPr>
            <w:tcW w:type="dxa" w:w="5083"/>
            <w:vAlign w:val="top"/>
          </w:tcPr>
          <w:p>
            <w:r>
              <w:t>3. Advanced ADF &amp; Production Orchestration</w:t>
            </w:r>
          </w:p>
        </w:tc>
        <w:tc>
          <w:tcPr>
            <w:tcW w:type="dxa" w:w="5083"/>
            <w:vAlign w:val="top"/>
          </w:tcPr>
          <w:p>
            <w:r>
              <w:t>Metadata-driven pipelines, ForEach/If, parameters, data flows, triggers, Execute Pipeline, production flow</w:t>
            </w:r>
          </w:p>
        </w:tc>
      </w:tr>
    </w:tbl>
    <w:p/>
    <w:p>
      <w:r>
        <w:br w:type="page"/>
      </w:r>
    </w:p>
    <w:p>
      <w:pPr>
        <w:pStyle w:val="Heading1"/>
        <w:keepNext/>
      </w:pPr>
      <w:r>
        <w:t>Chapter 1 — Azure &amp; Data Fundamentals</w:t>
      </w:r>
    </w:p>
    <w:p>
      <w:pPr>
        <w:spacing w:after="100"/>
      </w:pPr>
      <w:r>
        <w:rPr>
          <w:b w:val="0"/>
          <w:i w:val="0"/>
        </w:rPr>
        <w:t>Course coverage: approximately 00:13:51 → 02:18:44. The instructor builds the foundation from cloud computing through Azure data-storage services before transitioning into Azure Data Factory.</w:t>
      </w:r>
    </w:p>
    <w:p>
      <w:pPr>
        <w:pStyle w:val="Heading2"/>
        <w:keepNext/>
      </w:pPr>
      <w:r>
        <w:t>1.1 What is cloud computing?</w:t>
      </w:r>
    </w:p>
    <w:p>
      <w:pPr>
        <w:spacing w:after="100"/>
      </w:pPr>
      <w:r>
        <w:rPr>
          <w:b w:val="0"/>
          <w:i w:val="0"/>
        </w:rPr>
        <w:t>Simple explanation: Cloud computing means renting computing resources—such as servers, storage, databases and networking—from a provider over the internet instead of buying and operating all of the hardware yourself.</w:t>
      </w:r>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Course concept — </w:t>
            </w:r>
            <w:r>
              <w:t>The course first introduces cloud through remote data storage and then expands the idea to on-demand computing resources and pay-as-you-go usage.</w:t>
            </w:r>
          </w:p>
        </w:tc>
      </w:tr>
    </w:tbl>
    <w:p/>
    <w:p>
      <w:pPr>
        <w:jc w:val="center"/>
      </w:pPr>
      <w:r>
        <w:drawing>
          <wp:inline xmlns:a="http://schemas.openxmlformats.org/drawingml/2006/main" xmlns:pic="http://schemas.openxmlformats.org/drawingml/2006/picture">
            <wp:extent cx="6217920" cy="3086267"/>
            <wp:docPr id="1" name="Picture 1"/>
            <wp:cNvGraphicFramePr>
              <a:graphicFrameLocks noChangeAspect="1"/>
            </wp:cNvGraphicFramePr>
            <a:graphic>
              <a:graphicData uri="http://schemas.openxmlformats.org/drawingml/2006/picture">
                <pic:pic>
                  <pic:nvPicPr>
                    <pic:cNvPr id="0" name="cloud.png"/>
                    <pic:cNvPicPr/>
                  </pic:nvPicPr>
                  <pic:blipFill>
                    <a:blip r:embed="rId9"/>
                    <a:stretch>
                      <a:fillRect/>
                    </a:stretch>
                  </pic:blipFill>
                  <pic:spPr>
                    <a:xfrm>
                      <a:off x="0" y="0"/>
                      <a:ext cx="6217920" cy="3086267"/>
                    </a:xfrm>
                    <a:prstGeom prst="rect"/>
                  </pic:spPr>
                </pic:pic>
              </a:graphicData>
            </a:graphic>
          </wp:inline>
        </w:drawing>
      </w:r>
    </w:p>
    <w:p>
      <w:pPr>
        <w:pStyle w:val="Small"/>
        <w:jc w:val="center"/>
      </w:pPr>
      <w:r>
        <w:t>Figure 1. Cloud computing in one picture</w:t>
      </w:r>
    </w:p>
    <w:p>
      <w:pPr>
        <w:spacing w:after="100"/>
      </w:pPr>
      <w:r>
        <w:rPr>
          <w:b w:val="0"/>
          <w:i w:val="0"/>
        </w:rPr>
        <w:t>Why companies use it: demand changes. A startup may need modest capacity today and much more during a sale or product launch. Cloud makes it possible to provision and release resources without purchasing every physical machine in advance.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6EAF8"/>
            <w:vAlign w:val="center"/>
          </w:tcPr>
          <w:p>
            <w:r>
              <w:rPr>
                <w:b/>
              </w:rPr>
              <w:t>Concept</w:t>
            </w:r>
          </w:p>
        </w:tc>
        <w:tc>
          <w:tcPr>
            <w:tcW w:type="dxa" w:w="3389"/>
            <w:shd w:fill="D6EAF8"/>
            <w:vAlign w:val="center"/>
          </w:tcPr>
          <w:p>
            <w:r>
              <w:rPr>
                <w:b/>
              </w:rPr>
              <w:t>Plain-English meaning</w:t>
            </w:r>
          </w:p>
        </w:tc>
        <w:tc>
          <w:tcPr>
            <w:tcW w:type="dxa" w:w="3389"/>
            <w:shd w:fill="D6EAF8"/>
            <w:vAlign w:val="center"/>
          </w:tcPr>
          <w:p>
            <w:r>
              <w:rPr>
                <w:b/>
              </w:rPr>
              <w:t>Data-engineering relevance</w:t>
            </w:r>
          </w:p>
        </w:tc>
      </w:tr>
      <w:tr>
        <w:tc>
          <w:tcPr>
            <w:tcW w:type="dxa" w:w="3389"/>
            <w:vAlign w:val="top"/>
          </w:tcPr>
          <w:p>
            <w:r>
              <w:t>On-demand</w:t>
            </w:r>
          </w:p>
        </w:tc>
        <w:tc>
          <w:tcPr>
            <w:tcW w:type="dxa" w:w="3389"/>
            <w:vAlign w:val="top"/>
          </w:tcPr>
          <w:p>
            <w:r>
              <w:t>Create resources when needed</w:t>
            </w:r>
          </w:p>
        </w:tc>
        <w:tc>
          <w:tcPr>
            <w:tcW w:type="dxa" w:w="3389"/>
            <w:vAlign w:val="top"/>
          </w:tcPr>
          <w:p>
            <w:r>
              <w:t>Spin up compute/storage for pipelines and workloads</w:t>
            </w:r>
          </w:p>
        </w:tc>
      </w:tr>
      <w:tr>
        <w:tc>
          <w:tcPr>
            <w:tcW w:type="dxa" w:w="3389"/>
            <w:vAlign w:val="top"/>
          </w:tcPr>
          <w:p>
            <w:r>
              <w:t>Pay-as-you-go</w:t>
            </w:r>
          </w:p>
        </w:tc>
        <w:tc>
          <w:tcPr>
            <w:tcW w:type="dxa" w:w="3389"/>
            <w:vAlign w:val="top"/>
          </w:tcPr>
          <w:p>
            <w:r>
              <w:t>Pay based on consumption</w:t>
            </w:r>
          </w:p>
        </w:tc>
        <w:tc>
          <w:tcPr>
            <w:tcW w:type="dxa" w:w="3389"/>
            <w:vAlign w:val="top"/>
          </w:tcPr>
          <w:p>
            <w:r>
              <w:t>Costs follow actual usage instead of fixed hardware purchase</w:t>
            </w:r>
          </w:p>
        </w:tc>
      </w:tr>
      <w:tr>
        <w:tc>
          <w:tcPr>
            <w:tcW w:type="dxa" w:w="3389"/>
            <w:vAlign w:val="top"/>
          </w:tcPr>
          <w:p>
            <w:r>
              <w:t>Elasticity</w:t>
            </w:r>
          </w:p>
        </w:tc>
        <w:tc>
          <w:tcPr>
            <w:tcW w:type="dxa" w:w="3389"/>
            <w:vAlign w:val="top"/>
          </w:tcPr>
          <w:p>
            <w:r>
              <w:t>Increase/decrease capacity</w:t>
            </w:r>
          </w:p>
        </w:tc>
        <w:tc>
          <w:tcPr>
            <w:tcW w:type="dxa" w:w="3389"/>
            <w:vAlign w:val="top"/>
          </w:tcPr>
          <w:p>
            <w:r>
              <w:t>Handle variable ingestion or transformation workloads</w:t>
            </w:r>
          </w:p>
        </w:tc>
      </w:tr>
      <w:tr>
        <w:tc>
          <w:tcPr>
            <w:tcW w:type="dxa" w:w="3389"/>
            <w:vAlign w:val="top"/>
          </w:tcPr>
          <w:p>
            <w:r>
              <w:t>Remote access</w:t>
            </w:r>
          </w:p>
        </w:tc>
        <w:tc>
          <w:tcPr>
            <w:tcW w:type="dxa" w:w="3389"/>
            <w:vAlign w:val="top"/>
          </w:tcPr>
          <w:p>
            <w:r>
              <w:t>Use services through network endpoints</w:t>
            </w:r>
          </w:p>
        </w:tc>
        <w:tc>
          <w:tcPr>
            <w:tcW w:type="dxa" w:w="3389"/>
            <w:vAlign w:val="top"/>
          </w:tcPr>
          <w:p>
            <w:r>
              <w:t>Pipelines connect to cloud sources/sinks from many locations</w:t>
            </w:r>
          </w:p>
        </w:tc>
      </w:tr>
    </w:tbl>
    <w:p/>
    <w:p>
      <w:r>
        <w:rPr>
          <w:b/>
        </w:rPr>
        <w:t>Interview: What is cloud computing?</w:t>
      </w:r>
      <w:r>
        <w:br/>
        <w:t>A delivery model for computing resources over a network on demand, typically with elastic capacity and usage-based pricing.</w:t>
      </w:r>
    </w:p>
    <w:p>
      <w:pPr>
        <w:pStyle w:val="Heading2"/>
        <w:keepNext/>
      </w:pPr>
      <w:r>
        <w:t>1.2 Data centers, servers and endpoints</w:t>
      </w:r>
    </w:p>
    <w:p>
      <w:pPr>
        <w:spacing w:after="100"/>
      </w:pPr>
      <w:r>
        <w:rPr>
          <w:b w:val="0"/>
          <w:i w:val="0"/>
        </w:rPr>
        <w:t>A cloud service is still backed by physical hardware. Providers operate data centers containing servers, storage and networking. Azure exposes logical resources—such as a VM or database—while hiding most physical infrastructure details.</w:t>
      </w:r>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More precise understanding — </w:t>
            </w:r>
            <w:r>
              <w:t>A cloud is not simply “a place to dump data.” Storage is one cloud capability. Cloud computing also includes compute, networking, databases, analytics, identity and managed application services.</w:t>
            </w:r>
          </w:p>
        </w:tc>
      </w:tr>
    </w:tbl>
    <w:p/>
    <w:p>
      <w:pPr>
        <w:pStyle w:val="Heading2"/>
        <w:keepNext/>
      </w:pPr>
      <w:r>
        <w:t>1.3 On-premises vs IaaS vs PaaS vs SaaS</w:t>
      </w:r>
    </w:p>
    <w:p>
      <w:pPr>
        <w:jc w:val="center"/>
      </w:pPr>
      <w:r>
        <w:drawing>
          <wp:inline xmlns:a="http://schemas.openxmlformats.org/drawingml/2006/main" xmlns:pic="http://schemas.openxmlformats.org/drawingml/2006/picture">
            <wp:extent cx="6217920" cy="3086267"/>
            <wp:docPr id="2" name="Picture 2"/>
            <wp:cNvGraphicFramePr>
              <a:graphicFrameLocks noChangeAspect="1"/>
            </wp:cNvGraphicFramePr>
            <a:graphic>
              <a:graphicData uri="http://schemas.openxmlformats.org/drawingml/2006/picture">
                <pic:pic>
                  <pic:nvPicPr>
                    <pic:cNvPr id="0" name="models.png"/>
                    <pic:cNvPicPr/>
                  </pic:nvPicPr>
                  <pic:blipFill>
                    <a:blip r:embed="rId10"/>
                    <a:stretch>
                      <a:fillRect/>
                    </a:stretch>
                  </pic:blipFill>
                  <pic:spPr>
                    <a:xfrm>
                      <a:off x="0" y="0"/>
                      <a:ext cx="6217920" cy="3086267"/>
                    </a:xfrm>
                    <a:prstGeom prst="rect"/>
                  </pic:spPr>
                </pic:pic>
              </a:graphicData>
            </a:graphic>
          </wp:inline>
        </w:drawing>
      </w:r>
    </w:p>
    <w:p>
      <w:pPr>
        <w:pStyle w:val="Small"/>
        <w:jc w:val="center"/>
      </w:pPr>
      <w:r>
        <w:t>Figure 2. Moving from on-premises toward more provider-managed services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6EAF8"/>
            <w:vAlign w:val="center"/>
          </w:tcPr>
          <w:p>
            <w:r>
              <w:rPr>
                <w:b/>
              </w:rPr>
              <w:t>Model</w:t>
            </w:r>
          </w:p>
        </w:tc>
        <w:tc>
          <w:tcPr>
            <w:tcW w:type="dxa" w:w="2541"/>
            <w:shd w:fill="D6EAF8"/>
            <w:vAlign w:val="center"/>
          </w:tcPr>
          <w:p>
            <w:r>
              <w:rPr>
                <w:b/>
              </w:rPr>
              <w:t>You manage most of</w:t>
            </w:r>
          </w:p>
        </w:tc>
        <w:tc>
          <w:tcPr>
            <w:tcW w:type="dxa" w:w="2541"/>
            <w:shd w:fill="D6EAF8"/>
            <w:vAlign w:val="center"/>
          </w:tcPr>
          <w:p>
            <w:r>
              <w:rPr>
                <w:b/>
              </w:rPr>
              <w:t>Provider manages most of</w:t>
            </w:r>
          </w:p>
        </w:tc>
        <w:tc>
          <w:tcPr>
            <w:tcW w:type="dxa" w:w="2541"/>
            <w:shd w:fill="D6EAF8"/>
            <w:vAlign w:val="center"/>
          </w:tcPr>
          <w:p>
            <w:r>
              <w:rPr>
                <w:b/>
              </w:rPr>
              <w:t>Course example</w:t>
            </w:r>
          </w:p>
        </w:tc>
      </w:tr>
      <w:tr>
        <w:tc>
          <w:tcPr>
            <w:tcW w:type="dxa" w:w="2541"/>
            <w:vAlign w:val="top"/>
          </w:tcPr>
          <w:p>
            <w:r>
              <w:t>On-premises</w:t>
            </w:r>
          </w:p>
        </w:tc>
        <w:tc>
          <w:tcPr>
            <w:tcW w:type="dxa" w:w="2541"/>
            <w:vAlign w:val="top"/>
          </w:tcPr>
          <w:p>
            <w:r>
              <w:t>Hardware, OS, network, apps, data</w:t>
            </w:r>
          </w:p>
        </w:tc>
        <w:tc>
          <w:tcPr>
            <w:tcW w:type="dxa" w:w="2541"/>
            <w:vAlign w:val="top"/>
          </w:tcPr>
          <w:p>
            <w:r>
              <w:t>Nothing in your environment</w:t>
            </w:r>
          </w:p>
        </w:tc>
        <w:tc>
          <w:tcPr>
            <w:tcW w:type="dxa" w:w="2541"/>
            <w:vAlign w:val="top"/>
          </w:tcPr>
          <w:p>
            <w:r>
              <w:t>Own servers</w:t>
            </w:r>
          </w:p>
        </w:tc>
      </w:tr>
      <w:tr>
        <w:tc>
          <w:tcPr>
            <w:tcW w:type="dxa" w:w="2541"/>
            <w:vAlign w:val="top"/>
          </w:tcPr>
          <w:p>
            <w:r>
              <w:t>IaaS</w:t>
            </w:r>
          </w:p>
        </w:tc>
        <w:tc>
          <w:tcPr>
            <w:tcW w:type="dxa" w:w="2541"/>
            <w:vAlign w:val="top"/>
          </w:tcPr>
          <w:p>
            <w:r>
              <w:t>OS, applications, data, many configurations</w:t>
            </w:r>
          </w:p>
        </w:tc>
        <w:tc>
          <w:tcPr>
            <w:tcW w:type="dxa" w:w="2541"/>
            <w:vAlign w:val="top"/>
          </w:tcPr>
          <w:p>
            <w:r>
              <w:t>Physical host/network/data center</w:t>
            </w:r>
          </w:p>
        </w:tc>
        <w:tc>
          <w:tcPr>
            <w:tcW w:type="dxa" w:w="2541"/>
            <w:vAlign w:val="top"/>
          </w:tcPr>
          <w:p>
            <w:r>
              <w:t>Azure Virtual Machine</w:t>
            </w:r>
          </w:p>
        </w:tc>
      </w:tr>
      <w:tr>
        <w:tc>
          <w:tcPr>
            <w:tcW w:type="dxa" w:w="2541"/>
            <w:vAlign w:val="top"/>
          </w:tcPr>
          <w:p>
            <w:r>
              <w:t>PaaS</w:t>
            </w:r>
          </w:p>
        </w:tc>
        <w:tc>
          <w:tcPr>
            <w:tcW w:type="dxa" w:w="2541"/>
            <w:vAlign w:val="top"/>
          </w:tcPr>
          <w:p>
            <w:r>
              <w:t>Data, app logic, selected configuration</w:t>
            </w:r>
          </w:p>
        </w:tc>
        <w:tc>
          <w:tcPr>
            <w:tcW w:type="dxa" w:w="2541"/>
            <w:vAlign w:val="top"/>
          </w:tcPr>
          <w:p>
            <w:r>
              <w:t>Infrastructure + OS/platform</w:t>
            </w:r>
          </w:p>
        </w:tc>
        <w:tc>
          <w:tcPr>
            <w:tcW w:type="dxa" w:w="2541"/>
            <w:vAlign w:val="top"/>
          </w:tcPr>
          <w:p>
            <w:r>
              <w:t>Azure SQL Database</w:t>
            </w:r>
          </w:p>
        </w:tc>
      </w:tr>
      <w:tr>
        <w:tc>
          <w:tcPr>
            <w:tcW w:type="dxa" w:w="2541"/>
            <w:vAlign w:val="top"/>
          </w:tcPr>
          <w:p>
            <w:r>
              <w:t>SaaS</w:t>
            </w:r>
          </w:p>
        </w:tc>
        <w:tc>
          <w:tcPr>
            <w:tcW w:type="dxa" w:w="2541"/>
            <w:vAlign w:val="top"/>
          </w:tcPr>
          <w:p>
            <w:r>
              <w:t>Usage, identities, your data</w:t>
            </w:r>
          </w:p>
        </w:tc>
        <w:tc>
          <w:tcPr>
            <w:tcW w:type="dxa" w:w="2541"/>
            <w:vAlign w:val="top"/>
          </w:tcPr>
          <w:p>
            <w:r>
              <w:t>Application + platform + infrastructure</w:t>
            </w:r>
          </w:p>
        </w:tc>
        <w:tc>
          <w:tcPr>
            <w:tcW w:type="dxa" w:w="2541"/>
            <w:vAlign w:val="top"/>
          </w:tcPr>
          <w:p>
            <w:r>
              <w:t>Microsoft Fabric-style SaaS</w:t>
            </w:r>
          </w:p>
        </w:tc>
      </w:tr>
    </w:tbl>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Memory trick — </w:t>
            </w:r>
            <w:r>
              <w:t>IaaS = rent the machine. PaaS = rent a ready platform. SaaS = use the finished software.</w:t>
            </w:r>
          </w:p>
        </w:tc>
      </w:tr>
    </w:tbl>
    <w:p/>
    <w:p>
      <w:r>
        <w:rPr>
          <w:b/>
        </w:rPr>
        <w:t>Interview: Why would a data team prefer PaaS over IaaS for a database?</w:t>
      </w:r>
      <w:r>
        <w:br/>
        <w:t>PaaS reduces operational work such as OS/platform maintenance so the team can focus more on data, schema, security configuration and workload design.</w:t>
      </w:r>
    </w:p>
    <w:p>
      <w:pPr>
        <w:pStyle w:val="Heading3"/>
        <w:keepNext/>
      </w:pPr>
      <w:r>
        <w:t>Common mistakes</w:t>
      </w:r>
    </w:p>
    <w:p>
      <w:pPr>
        <w:pStyle w:val="ListBullet"/>
      </w:pPr>
      <w:r>
        <w:t>Thinking IaaS means Microsoft manages your guest OS and applications.</w:t>
      </w:r>
    </w:p>
    <w:p>
      <w:pPr>
        <w:pStyle w:val="ListBullet"/>
      </w:pPr>
      <w:r>
        <w:t>Thinking SaaS removes all customer responsibility; identities, permissions and data governance still matter.</w:t>
      </w:r>
    </w:p>
    <w:p>
      <w:pPr>
        <w:pStyle w:val="ListBullet"/>
      </w:pPr>
      <w:r>
        <w:t>Treating Azure and “cloud” as exact synonyms—Azure is one cloud provider/platform.</w:t>
      </w:r>
    </w:p>
    <w:p>
      <w:pPr>
        <w:pStyle w:val="Heading2"/>
        <w:keepNext/>
      </w:pPr>
      <w:r>
        <w:t>1.4 Fault tolerance, availability zones and regions</w:t>
      </w:r>
    </w:p>
    <w:p>
      <w:pPr>
        <w:spacing w:after="100"/>
      </w:pPr>
      <w:r>
        <w:rPr>
          <w:b w:val="0"/>
          <w:i w:val="0"/>
        </w:rPr>
        <w:t>The course motivates resilience by asking what happens when a server, data center, city/zone or region fails. The core idea is redundancy: keep additional copies or deploy resources across failure boundaries so one failure does not automatically destroy the service.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6EAF8"/>
            <w:vAlign w:val="center"/>
          </w:tcPr>
          <w:p>
            <w:r>
              <w:rPr>
                <w:b/>
              </w:rPr>
              <w:t>Failure boundary</w:t>
            </w:r>
          </w:p>
        </w:tc>
        <w:tc>
          <w:tcPr>
            <w:tcW w:type="dxa" w:w="3389"/>
            <w:shd w:fill="D6EAF8"/>
            <w:vAlign w:val="center"/>
          </w:tcPr>
          <w:p>
            <w:r>
              <w:rPr>
                <w:b/>
              </w:rPr>
              <w:t>Azure idea</w:t>
            </w:r>
          </w:p>
        </w:tc>
        <w:tc>
          <w:tcPr>
            <w:tcW w:type="dxa" w:w="3389"/>
            <w:shd w:fill="D6EAF8"/>
            <w:vAlign w:val="center"/>
          </w:tcPr>
          <w:p>
            <w:r>
              <w:rPr>
                <w:b/>
              </w:rPr>
              <w:t>Purpose</w:t>
            </w:r>
          </w:p>
        </w:tc>
      </w:tr>
      <w:tr>
        <w:tc>
          <w:tcPr>
            <w:tcW w:type="dxa" w:w="3389"/>
            <w:vAlign w:val="top"/>
          </w:tcPr>
          <w:p>
            <w:r>
              <w:t>Single hardware/server</w:t>
            </w:r>
          </w:p>
        </w:tc>
        <w:tc>
          <w:tcPr>
            <w:tcW w:type="dxa" w:w="3389"/>
            <w:vAlign w:val="top"/>
          </w:tcPr>
          <w:p>
            <w:r>
              <w:t>Redundancy/replication</w:t>
            </w:r>
          </w:p>
        </w:tc>
        <w:tc>
          <w:tcPr>
            <w:tcW w:type="dxa" w:w="3389"/>
            <w:vAlign w:val="top"/>
          </w:tcPr>
          <w:p>
            <w:r>
              <w:t>Survive component failure</w:t>
            </w:r>
          </w:p>
        </w:tc>
      </w:tr>
      <w:tr>
        <w:tc>
          <w:tcPr>
            <w:tcW w:type="dxa" w:w="3389"/>
            <w:vAlign w:val="top"/>
          </w:tcPr>
          <w:p>
            <w:r>
              <w:t>Data-center/zone failure</w:t>
            </w:r>
          </w:p>
        </w:tc>
        <w:tc>
          <w:tcPr>
            <w:tcW w:type="dxa" w:w="3389"/>
            <w:vAlign w:val="top"/>
          </w:tcPr>
          <w:p>
            <w:r>
              <w:t>Availability Zones</w:t>
            </w:r>
          </w:p>
        </w:tc>
        <w:tc>
          <w:tcPr>
            <w:tcW w:type="dxa" w:w="3389"/>
            <w:vAlign w:val="top"/>
          </w:tcPr>
          <w:p>
            <w:r>
              <w:t>Separate physical locations within a region</w:t>
            </w:r>
          </w:p>
        </w:tc>
      </w:tr>
      <w:tr>
        <w:tc>
          <w:tcPr>
            <w:tcW w:type="dxa" w:w="3389"/>
            <w:vAlign w:val="top"/>
          </w:tcPr>
          <w:p>
            <w:r>
              <w:t>Regional disaster</w:t>
            </w:r>
          </w:p>
        </w:tc>
        <w:tc>
          <w:tcPr>
            <w:tcW w:type="dxa" w:w="3389"/>
            <w:vAlign w:val="top"/>
          </w:tcPr>
          <w:p>
            <w:r>
              <w:t>Geo-redundancy / paired-region strategies</w:t>
            </w:r>
          </w:p>
        </w:tc>
        <w:tc>
          <w:tcPr>
            <w:tcW w:type="dxa" w:w="3389"/>
            <w:vAlign w:val="top"/>
          </w:tcPr>
          <w:p>
            <w:r>
              <w:t>Maintain a copy in another geographic region</w:t>
            </w:r>
          </w:p>
        </w:tc>
      </w:tr>
    </w:tbl>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Important — </w:t>
            </w:r>
            <w:r>
              <w:t>Replication does not automatically mean zero downtime or zero data loss. The exact behavior depends on the Azure service and redundancy option you configure.</w:t>
            </w:r>
          </w:p>
        </w:tc>
      </w:tr>
    </w:tbl>
    <w:p/>
    <w:p>
      <w:pPr>
        <w:pStyle w:val="Heading2"/>
        <w:keepNext/>
      </w:pPr>
      <w:r>
        <w:t>1.5 Storage redundancy: LRS, ZRS, GRS and GZRS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6EAF8"/>
            <w:vAlign w:val="center"/>
          </w:tcPr>
          <w:p>
            <w:r>
              <w:rPr>
                <w:b/>
              </w:rPr>
              <w:t>Option</w:t>
            </w:r>
          </w:p>
        </w:tc>
        <w:tc>
          <w:tcPr>
            <w:tcW w:type="dxa" w:w="3389"/>
            <w:shd w:fill="D6EAF8"/>
            <w:vAlign w:val="center"/>
          </w:tcPr>
          <w:p>
            <w:r>
              <w:rPr>
                <w:b/>
              </w:rPr>
              <w:t>Replication idea</w:t>
            </w:r>
          </w:p>
        </w:tc>
        <w:tc>
          <w:tcPr>
            <w:tcW w:type="dxa" w:w="3389"/>
            <w:shd w:fill="D6EAF8"/>
            <w:vAlign w:val="center"/>
          </w:tcPr>
          <w:p>
            <w:r>
              <w:rPr>
                <w:b/>
              </w:rPr>
              <w:t>Use when</w:t>
            </w:r>
          </w:p>
        </w:tc>
      </w:tr>
      <w:tr>
        <w:tc>
          <w:tcPr>
            <w:tcW w:type="dxa" w:w="3389"/>
            <w:vAlign w:val="top"/>
          </w:tcPr>
          <w:p>
            <w:r>
              <w:t>LRS</w:t>
            </w:r>
          </w:p>
        </w:tc>
        <w:tc>
          <w:tcPr>
            <w:tcW w:type="dxa" w:w="3389"/>
            <w:vAlign w:val="top"/>
          </w:tcPr>
          <w:p>
            <w:r>
              <w:t>Multiple copies in one local data-center scope</w:t>
            </w:r>
          </w:p>
        </w:tc>
        <w:tc>
          <w:tcPr>
            <w:tcW w:type="dxa" w:w="3389"/>
            <w:vAlign w:val="top"/>
          </w:tcPr>
          <w:p>
            <w:r>
              <w:t>Lowest-cost local durability is sufficient</w:t>
            </w:r>
          </w:p>
        </w:tc>
      </w:tr>
      <w:tr>
        <w:tc>
          <w:tcPr>
            <w:tcW w:type="dxa" w:w="3389"/>
            <w:vAlign w:val="top"/>
          </w:tcPr>
          <w:p>
            <w:r>
              <w:t>ZRS</w:t>
            </w:r>
          </w:p>
        </w:tc>
        <w:tc>
          <w:tcPr>
            <w:tcW w:type="dxa" w:w="3389"/>
            <w:vAlign w:val="top"/>
          </w:tcPr>
          <w:p>
            <w:r>
              <w:t>Copies across availability zones in one region</w:t>
            </w:r>
          </w:p>
        </w:tc>
        <w:tc>
          <w:tcPr>
            <w:tcW w:type="dxa" w:w="3389"/>
            <w:vAlign w:val="top"/>
          </w:tcPr>
          <w:p>
            <w:r>
              <w:t>Need resilience to a zone outage</w:t>
            </w:r>
          </w:p>
        </w:tc>
      </w:tr>
      <w:tr>
        <w:tc>
          <w:tcPr>
            <w:tcW w:type="dxa" w:w="3389"/>
            <w:vAlign w:val="top"/>
          </w:tcPr>
          <w:p>
            <w:r>
              <w:t>GRS</w:t>
            </w:r>
          </w:p>
        </w:tc>
        <w:tc>
          <w:tcPr>
            <w:tcW w:type="dxa" w:w="3389"/>
            <w:vAlign w:val="top"/>
          </w:tcPr>
          <w:p>
            <w:r>
              <w:t>Local copies + asynchronous copy to secondary region</w:t>
            </w:r>
          </w:p>
        </w:tc>
        <w:tc>
          <w:tcPr>
            <w:tcW w:type="dxa" w:w="3389"/>
            <w:vAlign w:val="top"/>
          </w:tcPr>
          <w:p>
            <w:r>
              <w:t>Need regional disaster protection</w:t>
            </w:r>
          </w:p>
        </w:tc>
      </w:tr>
      <w:tr>
        <w:tc>
          <w:tcPr>
            <w:tcW w:type="dxa" w:w="3389"/>
            <w:vAlign w:val="top"/>
          </w:tcPr>
          <w:p>
            <w:r>
              <w:t>GZRS</w:t>
            </w:r>
          </w:p>
        </w:tc>
        <w:tc>
          <w:tcPr>
            <w:tcW w:type="dxa" w:w="3389"/>
            <w:vAlign w:val="top"/>
          </w:tcPr>
          <w:p>
            <w:r>
              <w:t>Zone redundancy in primary + geo copy</w:t>
            </w:r>
          </w:p>
        </w:tc>
        <w:tc>
          <w:tcPr>
            <w:tcW w:type="dxa" w:w="3389"/>
            <w:vAlign w:val="top"/>
          </w:tcPr>
          <w:p>
            <w:r>
              <w:t>Need both zone and regional resilience</w:t>
            </w:r>
          </w:p>
        </w:tc>
      </w:tr>
    </w:tbl>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Cost principle — </w:t>
            </w:r>
            <w:r>
              <w:t>More redundancy usually means higher cost. Choose it from business RPO/RTO and durability requirements—not simply “maximum is always best.”</w:t>
            </w:r>
          </w:p>
        </w:tc>
      </w:tr>
    </w:tbl>
    <w:p/>
    <w:p>
      <w:pPr>
        <w:pStyle w:val="Heading2"/>
        <w:keepNext/>
      </w:pPr>
      <w:r>
        <w:t>1.6 Azure hierarchy: subscription, resource group and resources</w:t>
      </w:r>
    </w:p>
    <w:p>
      <w:pPr>
        <w:jc w:val="center"/>
      </w:pPr>
      <w:r>
        <w:drawing>
          <wp:inline xmlns:a="http://schemas.openxmlformats.org/drawingml/2006/main" xmlns:pic="http://schemas.openxmlformats.org/drawingml/2006/picture">
            <wp:extent cx="6217920" cy="3086267"/>
            <wp:docPr id="3" name="Picture 3"/>
            <wp:cNvGraphicFramePr>
              <a:graphicFrameLocks noChangeAspect="1"/>
            </wp:cNvGraphicFramePr>
            <a:graphic>
              <a:graphicData uri="http://schemas.openxmlformats.org/drawingml/2006/picture">
                <pic:pic>
                  <pic:nvPicPr>
                    <pic:cNvPr id="0" name="azure_hierarchy.png"/>
                    <pic:cNvPicPr/>
                  </pic:nvPicPr>
                  <pic:blipFill>
                    <a:blip r:embed="rId11"/>
                    <a:stretch>
                      <a:fillRect/>
                    </a:stretch>
                  </pic:blipFill>
                  <pic:spPr>
                    <a:xfrm>
                      <a:off x="0" y="0"/>
                      <a:ext cx="6217920" cy="3086267"/>
                    </a:xfrm>
                    <a:prstGeom prst="rect"/>
                  </pic:spPr>
                </pic:pic>
              </a:graphicData>
            </a:graphic>
          </wp:inline>
        </w:drawing>
      </w:r>
    </w:p>
    <w:p>
      <w:pPr>
        <w:pStyle w:val="Small"/>
        <w:jc w:val="center"/>
      </w:pPr>
      <w:r>
        <w:t>Figure 3. Simplified Azure organization hierarchy</w:t>
      </w:r>
    </w:p>
    <w:p>
      <w:pPr>
        <w:spacing w:after="100"/>
      </w:pPr>
      <w:r>
        <w:rPr>
          <w:b w:val="0"/>
          <w:i w:val="0"/>
        </w:rPr>
        <w:t>A resource is an Azure service instance you create, such as a Storage Account, Azure SQL Database, VM or Data Factory. A resource group is a logical container used to organize related resources. A subscription provides a billing/access boundary for resources.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6EAF8"/>
            <w:vAlign w:val="center"/>
          </w:tcPr>
          <w:p>
            <w:r>
              <w:rPr>
                <w:b/>
              </w:rPr>
              <w:t>Term</w:t>
            </w:r>
          </w:p>
        </w:tc>
        <w:tc>
          <w:tcPr>
            <w:tcW w:type="dxa" w:w="3389"/>
            <w:shd w:fill="D6EAF8"/>
            <w:vAlign w:val="center"/>
          </w:tcPr>
          <w:p>
            <w:r>
              <w:rPr>
                <w:b/>
              </w:rPr>
              <w:t>Think of it as</w:t>
            </w:r>
          </w:p>
        </w:tc>
        <w:tc>
          <w:tcPr>
            <w:tcW w:type="dxa" w:w="3389"/>
            <w:shd w:fill="D6EAF8"/>
            <w:vAlign w:val="center"/>
          </w:tcPr>
          <w:p>
            <w:r>
              <w:rPr>
                <w:b/>
              </w:rPr>
              <w:t>Example</w:t>
            </w:r>
          </w:p>
        </w:tc>
      </w:tr>
      <w:tr>
        <w:tc>
          <w:tcPr>
            <w:tcW w:type="dxa" w:w="3389"/>
            <w:vAlign w:val="top"/>
          </w:tcPr>
          <w:p>
            <w:r>
              <w:t>Subscription</w:t>
            </w:r>
          </w:p>
        </w:tc>
        <w:tc>
          <w:tcPr>
            <w:tcW w:type="dxa" w:w="3389"/>
            <w:vAlign w:val="top"/>
          </w:tcPr>
          <w:p>
            <w:r>
              <w:t>Billing + access boundary</w:t>
            </w:r>
          </w:p>
        </w:tc>
        <w:tc>
          <w:tcPr>
            <w:tcW w:type="dxa" w:w="3389"/>
            <w:vAlign w:val="top"/>
          </w:tcPr>
          <w:p>
            <w:r>
              <w:t>Training subscription</w:t>
            </w:r>
          </w:p>
        </w:tc>
      </w:tr>
      <w:tr>
        <w:tc>
          <w:tcPr>
            <w:tcW w:type="dxa" w:w="3389"/>
            <w:vAlign w:val="top"/>
          </w:tcPr>
          <w:p>
            <w:r>
              <w:t>Resource Group</w:t>
            </w:r>
          </w:p>
        </w:tc>
        <w:tc>
          <w:tcPr>
            <w:tcW w:type="dxa" w:w="3389"/>
            <w:vAlign w:val="top"/>
          </w:tcPr>
          <w:p>
            <w:r>
              <w:t>Project folder</w:t>
            </w:r>
          </w:p>
        </w:tc>
        <w:tc>
          <w:tcPr>
            <w:tcW w:type="dxa" w:w="3389"/>
            <w:vAlign w:val="top"/>
          </w:tcPr>
          <w:p>
            <w:r>
              <w:t>rg-data-engineering-dev</w:t>
            </w:r>
          </w:p>
        </w:tc>
      </w:tr>
      <w:tr>
        <w:tc>
          <w:tcPr>
            <w:tcW w:type="dxa" w:w="3389"/>
            <w:vAlign w:val="top"/>
          </w:tcPr>
          <w:p>
            <w:r>
              <w:t>Resource</w:t>
            </w:r>
          </w:p>
        </w:tc>
        <w:tc>
          <w:tcPr>
            <w:tcW w:type="dxa" w:w="3389"/>
            <w:vAlign w:val="top"/>
          </w:tcPr>
          <w:p>
            <w:r>
              <w:t>Actual service instance</w:t>
            </w:r>
          </w:p>
        </w:tc>
        <w:tc>
          <w:tcPr>
            <w:tcW w:type="dxa" w:w="3389"/>
            <w:vAlign w:val="top"/>
          </w:tcPr>
          <w:p>
            <w:r>
              <w:t>adf-sales-dev, storage account, SQL DB</w:t>
            </w:r>
          </w:p>
        </w:tc>
      </w:tr>
    </w:tbl>
    <w:p/>
    <w:p>
      <w:pPr>
        <w:pStyle w:val="Heading2"/>
        <w:keepNext/>
      </w:pPr>
      <w:r>
        <w:t>1.7 Networking: public and private access</w:t>
      </w:r>
    </w:p>
    <w:p>
      <w:pPr>
        <w:spacing w:after="100"/>
      </w:pPr>
      <w:r>
        <w:rPr>
          <w:b w:val="0"/>
          <w:i w:val="0"/>
        </w:rPr>
        <w:t>The transcript introduces the idea that an Azure resource can be exposed through a public endpoint or restricted through private networking. For learning labs, public access is convenient; for sensitive production data, private connectivity and strict firewall/network rules are common.</w:t>
      </w:r>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Data-engineering connection — </w:t>
            </w:r>
            <w:r>
              <w:t>ADF, Databricks, SQL databases and Storage Accounts often need to communicate across network boundaries. A pipeline can be logically correct but still fail because DNS, firewall or private-endpoint rules block the connection.</w:t>
            </w:r>
          </w:p>
        </w:tc>
      </w:tr>
    </w:tbl>
    <w:p/>
    <w:p>
      <w:pPr>
        <w:pStyle w:val="Heading2"/>
        <w:keepNext/>
      </w:pPr>
      <w:r>
        <w:t>1.8 Types of data</w:t>
      </w:r>
    </w:p>
    <w:p>
      <w:pPr>
        <w:jc w:val="center"/>
      </w:pPr>
      <w:r>
        <w:drawing>
          <wp:inline xmlns:a="http://schemas.openxmlformats.org/drawingml/2006/main" xmlns:pic="http://schemas.openxmlformats.org/drawingml/2006/picture">
            <wp:extent cx="6217920" cy="3086267"/>
            <wp:docPr id="4" name="Picture 4"/>
            <wp:cNvGraphicFramePr>
              <a:graphicFrameLocks noChangeAspect="1"/>
            </wp:cNvGraphicFramePr>
            <a:graphic>
              <a:graphicData uri="http://schemas.openxmlformats.org/drawingml/2006/picture">
                <pic:pic>
                  <pic:nvPicPr>
                    <pic:cNvPr id="0" name="data_types.png"/>
                    <pic:cNvPicPr/>
                  </pic:nvPicPr>
                  <pic:blipFill>
                    <a:blip r:embed="rId12"/>
                    <a:stretch>
                      <a:fillRect/>
                    </a:stretch>
                  </pic:blipFill>
                  <pic:spPr>
                    <a:xfrm>
                      <a:off x="0" y="0"/>
                      <a:ext cx="6217920" cy="3086267"/>
                    </a:xfrm>
                    <a:prstGeom prst="rect"/>
                  </pic:spPr>
                </pic:pic>
              </a:graphicData>
            </a:graphic>
          </wp:inline>
        </w:drawing>
      </w:r>
    </w:p>
    <w:p>
      <w:pPr>
        <w:pStyle w:val="Small"/>
        <w:jc w:val="center"/>
      </w:pPr>
      <w:r>
        <w:t>Figure 4. Data types and common Azure services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6EAF8"/>
            <w:vAlign w:val="center"/>
          </w:tcPr>
          <w:p>
            <w:r>
              <w:rPr>
                <w:b/>
              </w:rPr>
              <w:t>Type</w:t>
            </w:r>
          </w:p>
        </w:tc>
        <w:tc>
          <w:tcPr>
            <w:tcW w:type="dxa" w:w="2541"/>
            <w:shd w:fill="D6EAF8"/>
            <w:vAlign w:val="center"/>
          </w:tcPr>
          <w:p>
            <w:r>
              <w:rPr>
                <w:b/>
              </w:rPr>
              <w:t>Shape</w:t>
            </w:r>
          </w:p>
        </w:tc>
        <w:tc>
          <w:tcPr>
            <w:tcW w:type="dxa" w:w="2541"/>
            <w:shd w:fill="D6EAF8"/>
            <w:vAlign w:val="center"/>
          </w:tcPr>
          <w:p>
            <w:r>
              <w:rPr>
                <w:b/>
              </w:rPr>
              <w:t>Examples</w:t>
            </w:r>
          </w:p>
        </w:tc>
        <w:tc>
          <w:tcPr>
            <w:tcW w:type="dxa" w:w="2541"/>
            <w:shd w:fill="D6EAF8"/>
            <w:vAlign w:val="center"/>
          </w:tcPr>
          <w:p>
            <w:r>
              <w:rPr>
                <w:b/>
              </w:rPr>
              <w:t>Typical course service</w:t>
            </w:r>
          </w:p>
        </w:tc>
      </w:tr>
      <w:tr>
        <w:tc>
          <w:tcPr>
            <w:tcW w:type="dxa" w:w="2541"/>
            <w:vAlign w:val="top"/>
          </w:tcPr>
          <w:p>
            <w:r>
              <w:t>Structured</w:t>
            </w:r>
          </w:p>
        </w:tc>
        <w:tc>
          <w:tcPr>
            <w:tcW w:type="dxa" w:w="2541"/>
            <w:vAlign w:val="top"/>
          </w:tcPr>
          <w:p>
            <w:r>
              <w:t>Fixed rows/columns/schema</w:t>
            </w:r>
          </w:p>
        </w:tc>
        <w:tc>
          <w:tcPr>
            <w:tcW w:type="dxa" w:w="2541"/>
            <w:vAlign w:val="top"/>
          </w:tcPr>
          <w:p>
            <w:r>
              <w:t>Customer table, orders</w:t>
            </w:r>
          </w:p>
        </w:tc>
        <w:tc>
          <w:tcPr>
            <w:tcW w:type="dxa" w:w="2541"/>
            <w:vAlign w:val="top"/>
          </w:tcPr>
          <w:p>
            <w:r>
              <w:t>Azure SQL Database</w:t>
            </w:r>
          </w:p>
        </w:tc>
      </w:tr>
      <w:tr>
        <w:tc>
          <w:tcPr>
            <w:tcW w:type="dxa" w:w="2541"/>
            <w:vAlign w:val="top"/>
          </w:tcPr>
          <w:p>
            <w:r>
              <w:t>Semi-structured</w:t>
            </w:r>
          </w:p>
        </w:tc>
        <w:tc>
          <w:tcPr>
            <w:tcW w:type="dxa" w:w="2541"/>
            <w:vAlign w:val="top"/>
          </w:tcPr>
          <w:p>
            <w:r>
              <w:t>Self-describing, flexible fields</w:t>
            </w:r>
          </w:p>
        </w:tc>
        <w:tc>
          <w:tcPr>
            <w:tcW w:type="dxa" w:w="2541"/>
            <w:vAlign w:val="top"/>
          </w:tcPr>
          <w:p>
            <w:r>
              <w:t>JSON, key-value documents</w:t>
            </w:r>
          </w:p>
        </w:tc>
        <w:tc>
          <w:tcPr>
            <w:tcW w:type="dxa" w:w="2541"/>
            <w:vAlign w:val="top"/>
          </w:tcPr>
          <w:p>
            <w:r>
              <w:t>Cosmos DB / Table Storage</w:t>
            </w:r>
          </w:p>
        </w:tc>
      </w:tr>
      <w:tr>
        <w:tc>
          <w:tcPr>
            <w:tcW w:type="dxa" w:w="2541"/>
            <w:vAlign w:val="top"/>
          </w:tcPr>
          <w:p>
            <w:r>
              <w:t>Unstructured</w:t>
            </w:r>
          </w:p>
        </w:tc>
        <w:tc>
          <w:tcPr>
            <w:tcW w:type="dxa" w:w="2541"/>
            <w:vAlign w:val="top"/>
          </w:tcPr>
          <w:p>
            <w:r>
              <w:t>No fixed tabular schema</w:t>
            </w:r>
          </w:p>
        </w:tc>
        <w:tc>
          <w:tcPr>
            <w:tcW w:type="dxa" w:w="2541"/>
            <w:vAlign w:val="top"/>
          </w:tcPr>
          <w:p>
            <w:r>
              <w:t>Images, video, PDFs</w:t>
            </w:r>
          </w:p>
        </w:tc>
        <w:tc>
          <w:tcPr>
            <w:tcW w:type="dxa" w:w="2541"/>
            <w:vAlign w:val="top"/>
          </w:tcPr>
          <w:p>
            <w:r>
              <w:t>Blob Storage / ADLS</w:t>
            </w:r>
          </w:p>
        </w:tc>
      </w:tr>
    </w:tbl>
    <w:p/>
    <w:p>
      <w:pPr>
        <w:pStyle w:val="Code"/>
        <w:spacing w:after="140"/>
        <w:ind w:left="360"/>
      </w:pPr>
      <w:r>
        <w:t>-- Structured-data example</w:t>
        <w:br/>
        <w:t>CREATE TABLE Orders (</w:t>
        <w:br/>
        <w:t xml:space="preserve">    order_id INT,</w:t>
        <w:br/>
        <w:t xml:space="preserve">    customer_id INT,</w:t>
        <w:br/>
        <w:t xml:space="preserve">    amount DECIMAL(12,2),</w:t>
        <w:br/>
        <w:t xml:space="preserve">    order_date DATE</w:t>
        <w:br/>
        <w:t>);</w:t>
        <w:br/>
        <w:br/>
        <w:t>SELECT customer_id, SUM(amount) AS revenue</w:t>
        <w:br/>
        <w:t>FROM Orders</w:t>
        <w:br/>
        <w:t>GROUP BY customer_id;</w:t>
      </w:r>
    </w:p>
    <w:p>
      <w:pPr>
        <w:pStyle w:val="Code"/>
        <w:spacing w:after="140"/>
        <w:ind w:left="360"/>
      </w:pPr>
      <w:r>
        <w:t># PySpark can read semi-structured JSON and infer a schema</w:t>
        <w:br/>
        <w:t>df = spark.read.json("/raw/customers/*.json")</w:t>
        <w:br/>
        <w:t>df.printSchema()</w:t>
        <w:br/>
        <w:t>df.select("id", "name").show()</w:t>
      </w:r>
    </w:p>
    <w:p>
      <w:pPr>
        <w:pStyle w:val="Heading2"/>
        <w:keepNext/>
      </w:pPr>
      <w:r>
        <w:t>1.9 Azure SQL Database and relational data</w:t>
      </w:r>
    </w:p>
    <w:p>
      <w:pPr>
        <w:spacing w:after="100"/>
      </w:pPr>
      <w:r>
        <w:rPr>
          <w:b w:val="0"/>
          <w:i w:val="0"/>
        </w:rPr>
        <w:t>Azure SQL Database is presented as the managed relational option for structured data. Relational systems use tables, schemas, keys and SQL. For a data engineer, operational databases are commonly sources from which data is extracted into a lake or warehouse.</w:t>
      </w:r>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ETL mindset — </w:t>
            </w:r>
            <w:r>
              <w:t>An application database is optimized for application transactions. Analytics commonly moves or replicates that data into analytical storage rather than running every BI workload directly against the operational database.</w:t>
            </w:r>
          </w:p>
        </w:tc>
      </w:tr>
    </w:tbl>
    <w:p/>
    <w:p>
      <w:pPr>
        <w:pStyle w:val="Heading2"/>
        <w:keepNext/>
      </w:pPr>
      <w:r>
        <w:t>1.10 Cosmos DB and NoSQL</w:t>
      </w:r>
    </w:p>
    <w:p>
      <w:pPr>
        <w:spacing w:after="100"/>
      </w:pPr>
      <w:r>
        <w:rPr>
          <w:b w:val="0"/>
          <w:i w:val="0"/>
        </w:rPr>
        <w:t>Cosmos DB is introduced for non-relational/semi-structured scenarios. The course walks through APIs such as NoSQL, MongoDB, Table, Gremlin and Cassandra and explains that different APIs fit different data models or compatibility needs.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6EAF8"/>
            <w:vAlign w:val="center"/>
          </w:tcPr>
          <w:p>
            <w:r>
              <w:rPr>
                <w:b/>
              </w:rPr>
              <w:t>API/model</w:t>
            </w:r>
          </w:p>
        </w:tc>
        <w:tc>
          <w:tcPr>
            <w:tcW w:type="dxa" w:w="3389"/>
            <w:shd w:fill="D6EAF8"/>
            <w:vAlign w:val="center"/>
          </w:tcPr>
          <w:p>
            <w:r>
              <w:rPr>
                <w:b/>
              </w:rPr>
              <w:t>Simple mental model</w:t>
            </w:r>
          </w:p>
        </w:tc>
        <w:tc>
          <w:tcPr>
            <w:tcW w:type="dxa" w:w="3389"/>
            <w:shd w:fill="D6EAF8"/>
            <w:vAlign w:val="center"/>
          </w:tcPr>
          <w:p>
            <w:r>
              <w:rPr>
                <w:b/>
              </w:rPr>
              <w:t>Example use</w:t>
            </w:r>
          </w:p>
        </w:tc>
      </w:tr>
      <w:tr>
        <w:tc>
          <w:tcPr>
            <w:tcW w:type="dxa" w:w="3389"/>
            <w:vAlign w:val="top"/>
          </w:tcPr>
          <w:p>
            <w:r>
              <w:t>Cosmos DB for NoSQL</w:t>
            </w:r>
          </w:p>
        </w:tc>
        <w:tc>
          <w:tcPr>
            <w:tcW w:type="dxa" w:w="3389"/>
            <w:vAlign w:val="top"/>
          </w:tcPr>
          <w:p>
            <w:r>
              <w:t>JSON/document model with SQL-like query language</w:t>
            </w:r>
          </w:p>
        </w:tc>
        <w:tc>
          <w:tcPr>
            <w:tcW w:type="dxa" w:w="3389"/>
            <w:vAlign w:val="top"/>
          </w:tcPr>
          <w:p>
            <w:r>
              <w:t>Flexible application documents</w:t>
            </w:r>
          </w:p>
        </w:tc>
      </w:tr>
      <w:tr>
        <w:tc>
          <w:tcPr>
            <w:tcW w:type="dxa" w:w="3389"/>
            <w:vAlign w:val="top"/>
          </w:tcPr>
          <w:p>
            <w:r>
              <w:t>MongoDB compatibility</w:t>
            </w:r>
          </w:p>
        </w:tc>
        <w:tc>
          <w:tcPr>
            <w:tcW w:type="dxa" w:w="3389"/>
            <w:vAlign w:val="top"/>
          </w:tcPr>
          <w:p>
            <w:r>
              <w:t>Document model for MongoDB-oriented applications</w:t>
            </w:r>
          </w:p>
        </w:tc>
        <w:tc>
          <w:tcPr>
            <w:tcW w:type="dxa" w:w="3389"/>
            <w:vAlign w:val="top"/>
          </w:tcPr>
          <w:p>
            <w:r>
              <w:t>Existing MongoDB ecosystem</w:t>
            </w:r>
          </w:p>
        </w:tc>
      </w:tr>
      <w:tr>
        <w:tc>
          <w:tcPr>
            <w:tcW w:type="dxa" w:w="3389"/>
            <w:vAlign w:val="top"/>
          </w:tcPr>
          <w:p>
            <w:r>
              <w:t>Table</w:t>
            </w:r>
          </w:p>
        </w:tc>
        <w:tc>
          <w:tcPr>
            <w:tcW w:type="dxa" w:w="3389"/>
            <w:vAlign w:val="top"/>
          </w:tcPr>
          <w:p>
            <w:r>
              <w:t>Key/attribute style storage</w:t>
            </w:r>
          </w:p>
        </w:tc>
        <w:tc>
          <w:tcPr>
            <w:tcW w:type="dxa" w:w="3389"/>
            <w:vAlign w:val="top"/>
          </w:tcPr>
          <w:p>
            <w:r>
              <w:t>Simple key-value entities</w:t>
            </w:r>
          </w:p>
        </w:tc>
      </w:tr>
      <w:tr>
        <w:tc>
          <w:tcPr>
            <w:tcW w:type="dxa" w:w="3389"/>
            <w:vAlign w:val="top"/>
          </w:tcPr>
          <w:p>
            <w:r>
              <w:t>Gremlin</w:t>
            </w:r>
          </w:p>
        </w:tc>
        <w:tc>
          <w:tcPr>
            <w:tcW w:type="dxa" w:w="3389"/>
            <w:vAlign w:val="top"/>
          </w:tcPr>
          <w:p>
            <w:r>
              <w:t>Graph: nodes + relationships</w:t>
            </w:r>
          </w:p>
        </w:tc>
        <w:tc>
          <w:tcPr>
            <w:tcW w:type="dxa" w:w="3389"/>
            <w:vAlign w:val="top"/>
          </w:tcPr>
          <w:p>
            <w:r>
              <w:t>Networks, relationships</w:t>
            </w:r>
          </w:p>
        </w:tc>
      </w:tr>
      <w:tr>
        <w:tc>
          <w:tcPr>
            <w:tcW w:type="dxa" w:w="3389"/>
            <w:vAlign w:val="top"/>
          </w:tcPr>
          <w:p>
            <w:r>
              <w:t>Cassandra</w:t>
            </w:r>
          </w:p>
        </w:tc>
        <w:tc>
          <w:tcPr>
            <w:tcW w:type="dxa" w:w="3389"/>
            <w:vAlign w:val="top"/>
          </w:tcPr>
          <w:p>
            <w:r>
              <w:t>Wide-column / column-family model</w:t>
            </w:r>
          </w:p>
        </w:tc>
        <w:tc>
          <w:tcPr>
            <w:tcW w:type="dxa" w:w="3389"/>
            <w:vAlign w:val="top"/>
          </w:tcPr>
          <w:p>
            <w:r>
              <w:t>Large distributed wide-column workloads</w:t>
            </w:r>
          </w:p>
        </w:tc>
      </w:tr>
    </w:tbl>
    <w:p/>
    <w:p>
      <w:pPr>
        <w:pStyle w:val="Code"/>
        <w:spacing w:after="140"/>
        <w:ind w:left="360"/>
      </w:pPr>
      <w:r>
        <w:t>-- Illustrative Cosmos DB for NoSQL query style</w:t>
        <w:br/>
        <w:t>SELECT c.id, c.name</w:t>
        <w:br/>
        <w:t>FROM c</w:t>
        <w:br/>
        <w:t>WHERE c.country = "India"</w:t>
      </w:r>
    </w:p>
    <w:p>
      <w:pPr>
        <w:spacing w:after="100"/>
      </w:pPr>
      <w:r>
        <w:rPr>
          <w:b w:val="0"/>
          <w:i w:val="0"/>
        </w:rPr>
        <w:t>The transcript also introduces HTAP (hybrid transactional/analytical processing) as a way to think about operational data becoming available for analytics. For a data engineer, Cosmos DB is often a source feeding downstream analytical systems.</w:t>
      </w:r>
    </w:p>
    <w:p>
      <w:r>
        <w:rPr>
          <w:b/>
        </w:rPr>
        <w:t>Interview: Relational vs NoSQL—what is the key distinction?</w:t>
      </w:r>
      <w:r>
        <w:br/>
        <w:t>Relational databases organize data into schema-governed tables and relationships. NoSQL systems support alternative models such as documents, key-value, graph or wide-column structures and often allow more flexible schemas.</w:t>
      </w:r>
    </w:p>
    <w:p>
      <w:pPr>
        <w:pStyle w:val="Heading2"/>
        <w:keepNext/>
      </w:pPr>
      <w:r>
        <w:t>1.11 Azure Storage Account</w:t>
      </w:r>
    </w:p>
    <w:p>
      <w:pPr>
        <w:spacing w:after="100"/>
      </w:pPr>
      <w:r>
        <w:rPr>
          <w:b w:val="0"/>
          <w:i w:val="0"/>
        </w:rPr>
        <w:t>A Storage Account is the umbrella resource through which the course explores Blob/containers, Data Lake, file shares, queues and tables.</w:t>
      </w:r>
    </w:p>
    <w:p>
      <w:pPr>
        <w:jc w:val="center"/>
      </w:pPr>
      <w:r>
        <w:drawing>
          <wp:inline xmlns:a="http://schemas.openxmlformats.org/drawingml/2006/main" xmlns:pic="http://schemas.openxmlformats.org/drawingml/2006/picture">
            <wp:extent cx="6217920" cy="3086267"/>
            <wp:docPr id="5" name="Picture 5"/>
            <wp:cNvGraphicFramePr>
              <a:graphicFrameLocks noChangeAspect="1"/>
            </wp:cNvGraphicFramePr>
            <a:graphic>
              <a:graphicData uri="http://schemas.openxmlformats.org/drawingml/2006/picture">
                <pic:pic>
                  <pic:nvPicPr>
                    <pic:cNvPr id="0" name="adls.png"/>
                    <pic:cNvPicPr/>
                  </pic:nvPicPr>
                  <pic:blipFill>
                    <a:blip r:embed="rId13"/>
                    <a:stretch>
                      <a:fillRect/>
                    </a:stretch>
                  </pic:blipFill>
                  <pic:spPr>
                    <a:xfrm>
                      <a:off x="0" y="0"/>
                      <a:ext cx="6217920" cy="3086267"/>
                    </a:xfrm>
                    <a:prstGeom prst="rect"/>
                  </pic:spPr>
                </pic:pic>
              </a:graphicData>
            </a:graphic>
          </wp:inline>
        </w:drawing>
      </w:r>
    </w:p>
    <w:p>
      <w:pPr>
        <w:pStyle w:val="Small"/>
        <w:jc w:val="center"/>
      </w:pPr>
      <w:r>
        <w:t>Figure 5. ADLS Gen2 hierarchical organization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6EAF8"/>
            <w:vAlign w:val="center"/>
          </w:tcPr>
          <w:p>
            <w:r>
              <w:rPr>
                <w:b/>
              </w:rPr>
              <w:t>Storage capability</w:t>
            </w:r>
          </w:p>
        </w:tc>
        <w:tc>
          <w:tcPr>
            <w:tcW w:type="dxa" w:w="3389"/>
            <w:shd w:fill="D6EAF8"/>
            <w:vAlign w:val="center"/>
          </w:tcPr>
          <w:p>
            <w:r>
              <w:rPr>
                <w:b/>
              </w:rPr>
              <w:t>What it stores/does</w:t>
            </w:r>
          </w:p>
        </w:tc>
        <w:tc>
          <w:tcPr>
            <w:tcW w:type="dxa" w:w="3389"/>
            <w:shd w:fill="D6EAF8"/>
            <w:vAlign w:val="center"/>
          </w:tcPr>
          <w:p>
            <w:r>
              <w:rPr>
                <w:b/>
              </w:rPr>
              <w:t>Typical DE use</w:t>
            </w:r>
          </w:p>
        </w:tc>
      </w:tr>
      <w:tr>
        <w:tc>
          <w:tcPr>
            <w:tcW w:type="dxa" w:w="3389"/>
            <w:vAlign w:val="top"/>
          </w:tcPr>
          <w:p>
            <w:r>
              <w:t>Blob / Containers</w:t>
            </w:r>
          </w:p>
        </w:tc>
        <w:tc>
          <w:tcPr>
            <w:tcW w:type="dxa" w:w="3389"/>
            <w:vAlign w:val="top"/>
          </w:tcPr>
          <w:p>
            <w:r>
              <w:t>Objects/files</w:t>
            </w:r>
          </w:p>
        </w:tc>
        <w:tc>
          <w:tcPr>
            <w:tcW w:type="dxa" w:w="3389"/>
            <w:vAlign w:val="top"/>
          </w:tcPr>
          <w:p>
            <w:r>
              <w:t>Raw files, logs, exports</w:t>
            </w:r>
          </w:p>
        </w:tc>
      </w:tr>
      <w:tr>
        <w:tc>
          <w:tcPr>
            <w:tcW w:type="dxa" w:w="3389"/>
            <w:vAlign w:val="top"/>
          </w:tcPr>
          <w:p>
            <w:r>
              <w:t>ADLS Gen2</w:t>
            </w:r>
          </w:p>
        </w:tc>
        <w:tc>
          <w:tcPr>
            <w:tcW w:type="dxa" w:w="3389"/>
            <w:vAlign w:val="top"/>
          </w:tcPr>
          <w:p>
            <w:r>
              <w:t>Blob storage + hierarchical namespace</w:t>
            </w:r>
          </w:p>
        </w:tc>
        <w:tc>
          <w:tcPr>
            <w:tcW w:type="dxa" w:w="3389"/>
            <w:vAlign w:val="top"/>
          </w:tcPr>
          <w:p>
            <w:r>
              <w:t>Data-lake folder hierarchy and analytics</w:t>
            </w:r>
          </w:p>
        </w:tc>
      </w:tr>
      <w:tr>
        <w:tc>
          <w:tcPr>
            <w:tcW w:type="dxa" w:w="3389"/>
            <w:vAlign w:val="top"/>
          </w:tcPr>
          <w:p>
            <w:r>
              <w:t>Azure Files</w:t>
            </w:r>
          </w:p>
        </w:tc>
        <w:tc>
          <w:tcPr>
            <w:tcW w:type="dxa" w:w="3389"/>
            <w:vAlign w:val="top"/>
          </w:tcPr>
          <w:p>
            <w:r>
              <w:t>Managed file shares</w:t>
            </w:r>
          </w:p>
        </w:tc>
        <w:tc>
          <w:tcPr>
            <w:tcW w:type="dxa" w:w="3389"/>
            <w:vAlign w:val="top"/>
          </w:tcPr>
          <w:p>
            <w:r>
              <w:t>Shared file-system scenarios</w:t>
            </w:r>
          </w:p>
        </w:tc>
      </w:tr>
      <w:tr>
        <w:tc>
          <w:tcPr>
            <w:tcW w:type="dxa" w:w="3389"/>
            <w:vAlign w:val="top"/>
          </w:tcPr>
          <w:p>
            <w:r>
              <w:t>Queue Storage</w:t>
            </w:r>
          </w:p>
        </w:tc>
        <w:tc>
          <w:tcPr>
            <w:tcW w:type="dxa" w:w="3389"/>
            <w:vAlign w:val="top"/>
          </w:tcPr>
          <w:p>
            <w:r>
              <w:t>Messages</w:t>
            </w:r>
          </w:p>
        </w:tc>
        <w:tc>
          <w:tcPr>
            <w:tcW w:type="dxa" w:w="3389"/>
            <w:vAlign w:val="top"/>
          </w:tcPr>
          <w:p>
            <w:r>
              <w:t>Simple asynchronous messaging</w:t>
            </w:r>
          </w:p>
        </w:tc>
      </w:tr>
      <w:tr>
        <w:tc>
          <w:tcPr>
            <w:tcW w:type="dxa" w:w="3389"/>
            <w:vAlign w:val="top"/>
          </w:tcPr>
          <w:p>
            <w:r>
              <w:t>Table Storage</w:t>
            </w:r>
          </w:p>
        </w:tc>
        <w:tc>
          <w:tcPr>
            <w:tcW w:type="dxa" w:w="3389"/>
            <w:vAlign w:val="top"/>
          </w:tcPr>
          <w:p>
            <w:r>
              <w:t>Key/attribute entities</w:t>
            </w:r>
          </w:p>
        </w:tc>
        <w:tc>
          <w:tcPr>
            <w:tcW w:type="dxa" w:w="3389"/>
            <w:vAlign w:val="top"/>
          </w:tcPr>
          <w:p>
            <w:r>
              <w:t>Simple semi-structured entities</w:t>
            </w:r>
          </w:p>
        </w:tc>
      </w:tr>
    </w:tbl>
    <w:p/>
    <w:p>
      <w:pPr>
        <w:pStyle w:val="Heading2"/>
        <w:keepNext/>
      </w:pPr>
      <w:r>
        <w:t>1.12 ADLS Gen2 and hierarchical namespace</w:t>
      </w:r>
    </w:p>
    <w:p>
      <w:pPr>
        <w:spacing w:after="100"/>
      </w:pPr>
      <w:r>
        <w:rPr>
          <w:b w:val="0"/>
          <w:i w:val="0"/>
        </w:rPr>
        <w:t>The course shows that enabling hierarchical namespace gives Data Lake Storage Gen2 directory semantics. Instead of thinking only in flat object names, you can organize data as containers → folders → subfolders → files.</w:t>
      </w:r>
    </w:p>
    <w:p>
      <w:pPr>
        <w:pStyle w:val="Code"/>
        <w:spacing w:after="140"/>
        <w:ind w:left="360"/>
      </w:pPr>
      <w:r>
        <w:t>raw/</w:t>
        <w:br/>
        <w:t xml:space="preserve">  sales/</w:t>
        <w:br/>
        <w:t xml:space="preserve">    2026/</w:t>
        <w:br/>
        <w:t xml:space="preserve">      09/</w:t>
        <w:br/>
        <w:t xml:space="preserve">        22/</w:t>
        <w:br/>
        <w:t xml:space="preserve">          sales_20260922.csv</w:t>
        <w:br/>
        <w:br/>
        <w:t>curated/</w:t>
        <w:br/>
        <w:t xml:space="preserve">  sales/</w:t>
        <w:br/>
        <w:t xml:space="preserve">    daily_sales.parquet</w:t>
      </w:r>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Real-world DE — </w:t>
            </w:r>
            <w:r>
              <w:t>A common lake layout separates raw/bronze data from cleaned/silver and business/gold data. The exact naming convention varies by organization.</w:t>
            </w:r>
          </w:p>
        </w:tc>
      </w:tr>
    </w:tbl>
    <w:p/>
    <w:p>
      <w:pPr>
        <w:pStyle w:val="Heading2"/>
        <w:keepNext/>
      </w:pPr>
      <w:r>
        <w:t>1.13 Hot, Cool, Cold/Archive-style access tiers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6EAF8"/>
            <w:vAlign w:val="center"/>
          </w:tcPr>
          <w:p>
            <w:r>
              <w:rPr>
                <w:b/>
              </w:rPr>
              <w:t>Tier idea</w:t>
            </w:r>
          </w:p>
        </w:tc>
        <w:tc>
          <w:tcPr>
            <w:tcW w:type="dxa" w:w="3389"/>
            <w:shd w:fill="D6EAF8"/>
            <w:vAlign w:val="center"/>
          </w:tcPr>
          <w:p>
            <w:r>
              <w:rPr>
                <w:b/>
              </w:rPr>
              <w:t>Access pattern</w:t>
            </w:r>
          </w:p>
        </w:tc>
        <w:tc>
          <w:tcPr>
            <w:tcW w:type="dxa" w:w="3389"/>
            <w:shd w:fill="D6EAF8"/>
            <w:vAlign w:val="center"/>
          </w:tcPr>
          <w:p>
            <w:r>
              <w:rPr>
                <w:b/>
              </w:rPr>
              <w:t>Trade-off</w:t>
            </w:r>
          </w:p>
        </w:tc>
      </w:tr>
      <w:tr>
        <w:tc>
          <w:tcPr>
            <w:tcW w:type="dxa" w:w="3389"/>
            <w:vAlign w:val="top"/>
          </w:tcPr>
          <w:p>
            <w:r>
              <w:t>Hot</w:t>
            </w:r>
          </w:p>
        </w:tc>
        <w:tc>
          <w:tcPr>
            <w:tcW w:type="dxa" w:w="3389"/>
            <w:vAlign w:val="top"/>
          </w:tcPr>
          <w:p>
            <w:r>
              <w:t>Frequently accessed</w:t>
            </w:r>
          </w:p>
        </w:tc>
        <w:tc>
          <w:tcPr>
            <w:tcW w:type="dxa" w:w="3389"/>
            <w:vAlign w:val="top"/>
          </w:tcPr>
          <w:p>
            <w:r>
              <w:t>Higher storage cost, lower access cost</w:t>
            </w:r>
          </w:p>
        </w:tc>
      </w:tr>
      <w:tr>
        <w:tc>
          <w:tcPr>
            <w:tcW w:type="dxa" w:w="3389"/>
            <w:vAlign w:val="top"/>
          </w:tcPr>
          <w:p>
            <w:r>
              <w:t>Cool</w:t>
            </w:r>
          </w:p>
        </w:tc>
        <w:tc>
          <w:tcPr>
            <w:tcW w:type="dxa" w:w="3389"/>
            <w:vAlign w:val="top"/>
          </w:tcPr>
          <w:p>
            <w:r>
              <w:t>Infrequently accessed</w:t>
            </w:r>
          </w:p>
        </w:tc>
        <w:tc>
          <w:tcPr>
            <w:tcW w:type="dxa" w:w="3389"/>
            <w:vAlign w:val="top"/>
          </w:tcPr>
          <w:p>
            <w:r>
              <w:t>Lower storage cost, higher retrieval/access considerations</w:t>
            </w:r>
          </w:p>
        </w:tc>
      </w:tr>
      <w:tr>
        <w:tc>
          <w:tcPr>
            <w:tcW w:type="dxa" w:w="3389"/>
            <w:vAlign w:val="top"/>
          </w:tcPr>
          <w:p>
            <w:r>
              <w:t>Cold / archive-style</w:t>
            </w:r>
          </w:p>
        </w:tc>
        <w:tc>
          <w:tcPr>
            <w:tcW w:type="dxa" w:w="3389"/>
            <w:vAlign w:val="top"/>
          </w:tcPr>
          <w:p>
            <w:r>
              <w:t>Rarely accessed/retention</w:t>
            </w:r>
          </w:p>
        </w:tc>
        <w:tc>
          <w:tcPr>
            <w:tcW w:type="dxa" w:w="3389"/>
            <w:vAlign w:val="top"/>
          </w:tcPr>
          <w:p>
            <w:r>
              <w:t>Lowest storage economics but slower/costlier retrieval depending on tier</w:t>
            </w:r>
          </w:p>
        </w:tc>
      </w:tr>
    </w:tbl>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More precise understanding — </w:t>
            </w:r>
            <w:r>
              <w:t>Azure storage tier names and minimum-retention/retrieval behavior can evolve. Treat the course explanation as the conceptual model and check current Azure documentation before choosing a production tier.</w:t>
            </w:r>
          </w:p>
        </w:tc>
      </w:tr>
    </w:tbl>
    <w:p/>
    <w:p>
      <w:pPr>
        <w:pStyle w:val="Heading3"/>
        <w:keepNext/>
      </w:pPr>
      <w:r>
        <w:t>Quick revision</w:t>
      </w:r>
    </w:p>
    <w:tbl>
      <w:tblPr>
        <w:tblStyle w:val="TableGrid"/>
        <w:tblW w:type="auto" w:w="0"/>
        <w:jc w:val="center"/>
        <w:tblLook w:firstColumn="1" w:firstRow="1" w:lastColumn="0" w:lastRow="0" w:noHBand="0" w:noVBand="1" w:val="04A0"/>
      </w:tblPr>
      <w:tblGrid>
        <w:gridCol w:w="5083"/>
        <w:gridCol w:w="5083"/>
      </w:tblGrid>
      <w:tr>
        <w:tc>
          <w:tcPr>
            <w:tcW w:type="dxa" w:w="5083"/>
            <w:shd w:fill="D6EAF8"/>
            <w:vAlign w:val="center"/>
          </w:tcPr>
          <w:p>
            <w:r>
              <w:rPr>
                <w:b/>
              </w:rPr>
              <w:t>Remember</w:t>
            </w:r>
          </w:p>
        </w:tc>
        <w:tc>
          <w:tcPr>
            <w:tcW w:type="dxa" w:w="5083"/>
            <w:shd w:fill="D6EAF8"/>
            <w:vAlign w:val="center"/>
          </w:tcPr>
          <w:p>
            <w:r>
              <w:rPr>
                <w:b/>
              </w:rPr>
              <w:t>Meaning</w:t>
            </w:r>
          </w:p>
        </w:tc>
      </w:tr>
      <w:tr>
        <w:tc>
          <w:tcPr>
            <w:tcW w:type="dxa" w:w="5083"/>
            <w:vAlign w:val="top"/>
          </w:tcPr>
          <w:p>
            <w:r>
              <w:t>Cloud</w:t>
            </w:r>
          </w:p>
        </w:tc>
        <w:tc>
          <w:tcPr>
            <w:tcW w:type="dxa" w:w="5083"/>
            <w:vAlign w:val="top"/>
          </w:tcPr>
          <w:p>
            <w:r>
              <w:t>On-demand compute/storage/network/database services</w:t>
            </w:r>
          </w:p>
        </w:tc>
      </w:tr>
      <w:tr>
        <w:tc>
          <w:tcPr>
            <w:tcW w:type="dxa" w:w="5083"/>
            <w:vAlign w:val="top"/>
          </w:tcPr>
          <w:p>
            <w:r>
              <w:t>IaaS/PaaS/SaaS</w:t>
            </w:r>
          </w:p>
        </w:tc>
        <w:tc>
          <w:tcPr>
            <w:tcW w:type="dxa" w:w="5083"/>
            <w:vAlign w:val="top"/>
          </w:tcPr>
          <w:p>
            <w:r>
              <w:t>Increasing provider management</w:t>
            </w:r>
          </w:p>
        </w:tc>
      </w:tr>
      <w:tr>
        <w:tc>
          <w:tcPr>
            <w:tcW w:type="dxa" w:w="5083"/>
            <w:vAlign w:val="top"/>
          </w:tcPr>
          <w:p>
            <w:r>
              <w:t>Resource Group</w:t>
            </w:r>
          </w:p>
        </w:tc>
        <w:tc>
          <w:tcPr>
            <w:tcW w:type="dxa" w:w="5083"/>
            <w:vAlign w:val="top"/>
          </w:tcPr>
          <w:p>
            <w:r>
              <w:t>Logical container for Azure resources</w:t>
            </w:r>
          </w:p>
        </w:tc>
      </w:tr>
      <w:tr>
        <w:tc>
          <w:tcPr>
            <w:tcW w:type="dxa" w:w="5083"/>
            <w:vAlign w:val="top"/>
          </w:tcPr>
          <w:p>
            <w:r>
              <w:t>Structured</w:t>
            </w:r>
          </w:p>
        </w:tc>
        <w:tc>
          <w:tcPr>
            <w:tcW w:type="dxa" w:w="5083"/>
            <w:vAlign w:val="top"/>
          </w:tcPr>
          <w:p>
            <w:r>
              <w:t>Rows + columns + schema</w:t>
            </w:r>
          </w:p>
        </w:tc>
      </w:tr>
      <w:tr>
        <w:tc>
          <w:tcPr>
            <w:tcW w:type="dxa" w:w="5083"/>
            <w:vAlign w:val="top"/>
          </w:tcPr>
          <w:p>
            <w:r>
              <w:t>Semi-structured</w:t>
            </w:r>
          </w:p>
        </w:tc>
        <w:tc>
          <w:tcPr>
            <w:tcW w:type="dxa" w:w="5083"/>
            <w:vAlign w:val="top"/>
          </w:tcPr>
          <w:p>
            <w:r>
              <w:t>JSON/key-value/flexible fields</w:t>
            </w:r>
          </w:p>
        </w:tc>
      </w:tr>
      <w:tr>
        <w:tc>
          <w:tcPr>
            <w:tcW w:type="dxa" w:w="5083"/>
            <w:vAlign w:val="top"/>
          </w:tcPr>
          <w:p>
            <w:r>
              <w:t>ADLS Gen2</w:t>
            </w:r>
          </w:p>
        </w:tc>
        <w:tc>
          <w:tcPr>
            <w:tcW w:type="dxa" w:w="5083"/>
            <w:vAlign w:val="top"/>
          </w:tcPr>
          <w:p>
            <w:r>
              <w:t>Storage with hierarchical namespace for analytics</w:t>
            </w:r>
          </w:p>
        </w:tc>
      </w:tr>
      <w:tr>
        <w:tc>
          <w:tcPr>
            <w:tcW w:type="dxa" w:w="5083"/>
            <w:vAlign w:val="top"/>
          </w:tcPr>
          <w:p>
            <w:r>
              <w:t>Cosmos DB</w:t>
            </w:r>
          </w:p>
        </w:tc>
        <w:tc>
          <w:tcPr>
            <w:tcW w:type="dxa" w:w="5083"/>
            <w:vAlign w:val="top"/>
          </w:tcPr>
          <w:p>
            <w:r>
              <w:t>Managed NoSQL/multi-model database family</w:t>
            </w:r>
          </w:p>
        </w:tc>
      </w:tr>
    </w:tbl>
    <w:p/>
    <w:p>
      <w:r>
        <w:br w:type="page"/>
      </w:r>
    </w:p>
    <w:p>
      <w:pPr>
        <w:pStyle w:val="Heading1"/>
        <w:keepNext/>
      </w:pPr>
      <w:r>
        <w:t>Chapter 2 — Azure Data Factory Core Fundamentals</w:t>
      </w:r>
    </w:p>
    <w:p>
      <w:pPr>
        <w:spacing w:after="100"/>
      </w:pPr>
      <w:r>
        <w:rPr>
          <w:b w:val="0"/>
          <w:i w:val="0"/>
        </w:rPr>
        <w:t>Course coverage begins at approximately 02:18:57. The instructor moves from “what is ADF?” into connectors, linked services, datasets, activities, Studio and the first working copy pipeline.</w:t>
      </w:r>
    </w:p>
    <w:p>
      <w:pPr>
        <w:pStyle w:val="Heading2"/>
        <w:keepNext/>
      </w:pPr>
      <w:r>
        <w:t>2.1 What is Azure Data Factory?</w:t>
      </w:r>
    </w:p>
    <w:p>
      <w:pPr>
        <w:spacing w:after="100"/>
      </w:pPr>
      <w:r>
        <w:rPr>
          <w:b w:val="0"/>
          <w:i w:val="0"/>
        </w:rPr>
        <w:t>Simple explanation: Azure Data Factory (ADF) is a cloud data-integration and orchestration service. It connects to sources and destinations, moves data, coordinates steps, and can invoke transformation services. The course also demonstrates Mapping Data Flows for visual transformations.</w:t>
      </w:r>
    </w:p>
    <w:p>
      <w:pPr>
        <w:jc w:val="center"/>
      </w:pPr>
      <w:r>
        <w:drawing>
          <wp:inline xmlns:a="http://schemas.openxmlformats.org/drawingml/2006/main" xmlns:pic="http://schemas.openxmlformats.org/drawingml/2006/picture">
            <wp:extent cx="6217920" cy="3086267"/>
            <wp:docPr id="6" name="Picture 6"/>
            <wp:cNvGraphicFramePr>
              <a:graphicFrameLocks noChangeAspect="1"/>
            </wp:cNvGraphicFramePr>
            <a:graphic>
              <a:graphicData uri="http://schemas.openxmlformats.org/drawingml/2006/picture">
                <pic:pic>
                  <pic:nvPicPr>
                    <pic:cNvPr id="0" name="adf.png"/>
                    <pic:cNvPicPr/>
                  </pic:nvPicPr>
                  <pic:blipFill>
                    <a:blip r:embed="rId14"/>
                    <a:stretch>
                      <a:fillRect/>
                    </a:stretch>
                  </pic:blipFill>
                  <pic:spPr>
                    <a:xfrm>
                      <a:off x="0" y="0"/>
                      <a:ext cx="6217920" cy="3086267"/>
                    </a:xfrm>
                    <a:prstGeom prst="rect"/>
                  </pic:spPr>
                </pic:pic>
              </a:graphicData>
            </a:graphic>
          </wp:inline>
        </w:drawing>
      </w:r>
    </w:p>
    <w:p>
      <w:pPr>
        <w:pStyle w:val="Small"/>
        <w:jc w:val="center"/>
      </w:pPr>
      <w:r>
        <w:t>Figure 6. ADF connects sources to sinks and orchestrates work</w:t>
      </w:r>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Key idea — </w:t>
            </w:r>
            <w:r>
              <w:t>ADF is primarily the orchestrator/transport layer. It is not the place where your business data “lives”; the data normally lives in systems such as SQL databases, APIs, ADLS or other stores.</w:t>
            </w:r>
          </w:p>
        </w:tc>
      </w:tr>
    </w:tbl>
    <w:p/>
    <w:p>
      <w:pPr>
        <w:pStyle w:val="Heading2"/>
        <w:keepNext/>
      </w:pPr>
      <w:r>
        <w:t>2.2 ETL vs ELT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6EAF8"/>
            <w:vAlign w:val="center"/>
          </w:tcPr>
          <w:p>
            <w:r>
              <w:rPr>
                <w:b/>
              </w:rPr>
              <w:t>Pattern</w:t>
            </w:r>
          </w:p>
        </w:tc>
        <w:tc>
          <w:tcPr>
            <w:tcW w:type="dxa" w:w="3389"/>
            <w:shd w:fill="D6EAF8"/>
            <w:vAlign w:val="center"/>
          </w:tcPr>
          <w:p>
            <w:r>
              <w:rPr>
                <w:b/>
              </w:rPr>
              <w:t>Order</w:t>
            </w:r>
          </w:p>
        </w:tc>
        <w:tc>
          <w:tcPr>
            <w:tcW w:type="dxa" w:w="3389"/>
            <w:shd w:fill="D6EAF8"/>
            <w:vAlign w:val="center"/>
          </w:tcPr>
          <w:p>
            <w:r>
              <w:rPr>
                <w:b/>
              </w:rPr>
              <w:t>Good mental model</w:t>
            </w:r>
          </w:p>
        </w:tc>
      </w:tr>
      <w:tr>
        <w:tc>
          <w:tcPr>
            <w:tcW w:type="dxa" w:w="3389"/>
            <w:vAlign w:val="top"/>
          </w:tcPr>
          <w:p>
            <w:r>
              <w:t>ETL</w:t>
            </w:r>
          </w:p>
        </w:tc>
        <w:tc>
          <w:tcPr>
            <w:tcW w:type="dxa" w:w="3389"/>
            <w:vAlign w:val="top"/>
          </w:tcPr>
          <w:p>
            <w:r>
              <w:t>Extract → Transform → Load</w:t>
            </w:r>
          </w:p>
        </w:tc>
        <w:tc>
          <w:tcPr>
            <w:tcW w:type="dxa" w:w="3389"/>
            <w:vAlign w:val="top"/>
          </w:tcPr>
          <w:p>
            <w:r>
              <w:t>Transform before final analytical destination</w:t>
            </w:r>
          </w:p>
        </w:tc>
      </w:tr>
      <w:tr>
        <w:tc>
          <w:tcPr>
            <w:tcW w:type="dxa" w:w="3389"/>
            <w:vAlign w:val="top"/>
          </w:tcPr>
          <w:p>
            <w:r>
              <w:t>ELT</w:t>
            </w:r>
          </w:p>
        </w:tc>
        <w:tc>
          <w:tcPr>
            <w:tcW w:type="dxa" w:w="3389"/>
            <w:vAlign w:val="top"/>
          </w:tcPr>
          <w:p>
            <w:r>
              <w:t>Extract → Load → Transform</w:t>
            </w:r>
          </w:p>
        </w:tc>
        <w:tc>
          <w:tcPr>
            <w:tcW w:type="dxa" w:w="3389"/>
            <w:vAlign w:val="top"/>
          </w:tcPr>
          <w:p>
            <w:r>
              <w:t>Land raw data first, transform using scalable analytical compute</w:t>
            </w:r>
          </w:p>
        </w:tc>
      </w:tr>
    </w:tbl>
    <w:p/>
    <w:p>
      <w:pPr>
        <w:pStyle w:val="Code"/>
        <w:spacing w:after="140"/>
        <w:ind w:left="360"/>
      </w:pPr>
      <w:r>
        <w:t># ELT-style PySpark transformation after raw data lands in the lake</w:t>
        <w:br/>
        <w:t>bronze = spark.read.format("parquet").load("/bronze/orders")</w:t>
        <w:br/>
        <w:t>silver = (bronze</w:t>
        <w:br/>
        <w:t xml:space="preserve">          .dropDuplicates(["order_id"])</w:t>
        <w:br/>
        <w:t xml:space="preserve">          .filter("amount &gt;= 0"))</w:t>
        <w:br/>
        <w:t>silver.write.mode("overwrite").parquet("/silver/orders")</w:t>
      </w:r>
    </w:p>
    <w:p>
      <w:pPr>
        <w:pStyle w:val="Heading2"/>
        <w:keepNext/>
      </w:pPr>
      <w:r>
        <w:t>2.3 Connectors, Linked Services and Datasets</w:t>
      </w:r>
    </w:p>
    <w:p>
      <w:pPr>
        <w:spacing w:after="100"/>
      </w:pPr>
      <w:r>
        <w:rPr>
          <w:b w:val="0"/>
          <w:i w:val="0"/>
        </w:rPr>
        <w:t>These three terms are easy to mix up, so learn them as layers: a connector is the supported technology type; a Linked Service contains connection information; a Dataset points to the specific data structure/location you want an activity to read or write.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6EAF8"/>
            <w:vAlign w:val="center"/>
          </w:tcPr>
          <w:p>
            <w:r>
              <w:rPr>
                <w:b/>
              </w:rPr>
              <w:t>Object</w:t>
            </w:r>
          </w:p>
        </w:tc>
        <w:tc>
          <w:tcPr>
            <w:tcW w:type="dxa" w:w="3389"/>
            <w:shd w:fill="D6EAF8"/>
            <w:vAlign w:val="center"/>
          </w:tcPr>
          <w:p>
            <w:r>
              <w:rPr>
                <w:b/>
              </w:rPr>
              <w:t>Question it answers</w:t>
            </w:r>
          </w:p>
        </w:tc>
        <w:tc>
          <w:tcPr>
            <w:tcW w:type="dxa" w:w="3389"/>
            <w:shd w:fill="D6EAF8"/>
            <w:vAlign w:val="center"/>
          </w:tcPr>
          <w:p>
            <w:r>
              <w:rPr>
                <w:b/>
              </w:rPr>
              <w:t>Example</w:t>
            </w:r>
          </w:p>
        </w:tc>
      </w:tr>
      <w:tr>
        <w:tc>
          <w:tcPr>
            <w:tcW w:type="dxa" w:w="3389"/>
            <w:vAlign w:val="top"/>
          </w:tcPr>
          <w:p>
            <w:r>
              <w:t>Connector</w:t>
            </w:r>
          </w:p>
        </w:tc>
        <w:tc>
          <w:tcPr>
            <w:tcW w:type="dxa" w:w="3389"/>
            <w:vAlign w:val="top"/>
          </w:tcPr>
          <w:p>
            <w:r>
              <w:t>What technology can ADF talk to?</w:t>
            </w:r>
          </w:p>
        </w:tc>
        <w:tc>
          <w:tcPr>
            <w:tcW w:type="dxa" w:w="3389"/>
            <w:vAlign w:val="top"/>
          </w:tcPr>
          <w:p>
            <w:r>
              <w:t>Azure SQL, ADLS, HTTP</w:t>
            </w:r>
          </w:p>
        </w:tc>
      </w:tr>
      <w:tr>
        <w:tc>
          <w:tcPr>
            <w:tcW w:type="dxa" w:w="3389"/>
            <w:vAlign w:val="top"/>
          </w:tcPr>
          <w:p>
            <w:r>
              <w:t>Linked Service</w:t>
            </w:r>
          </w:p>
        </w:tc>
        <w:tc>
          <w:tcPr>
            <w:tcW w:type="dxa" w:w="3389"/>
            <w:vAlign w:val="top"/>
          </w:tcPr>
          <w:p>
            <w:r>
              <w:t>How do I connect to that system?</w:t>
            </w:r>
          </w:p>
        </w:tc>
        <w:tc>
          <w:tcPr>
            <w:tcW w:type="dxa" w:w="3389"/>
            <w:vAlign w:val="top"/>
          </w:tcPr>
          <w:p>
            <w:r>
              <w:t>Server/account + authentication</w:t>
            </w:r>
          </w:p>
        </w:tc>
      </w:tr>
      <w:tr>
        <w:tc>
          <w:tcPr>
            <w:tcW w:type="dxa" w:w="3389"/>
            <w:vAlign w:val="top"/>
          </w:tcPr>
          <w:p>
            <w:r>
              <w:t>Dataset</w:t>
            </w:r>
          </w:p>
        </w:tc>
        <w:tc>
          <w:tcPr>
            <w:tcW w:type="dxa" w:w="3389"/>
            <w:vAlign w:val="top"/>
          </w:tcPr>
          <w:p>
            <w:r>
              <w:t>Which data inside that system?</w:t>
            </w:r>
          </w:p>
        </w:tc>
        <w:tc>
          <w:tcPr>
            <w:tcW w:type="dxa" w:w="3389"/>
            <w:vAlign w:val="top"/>
          </w:tcPr>
          <w:p>
            <w:r>
              <w:t>/raw/orders/orders.csv or dbo.Customers</w:t>
            </w:r>
          </w:p>
        </w:tc>
      </w:tr>
    </w:tbl>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Memory trick — </w:t>
            </w:r>
            <w:r>
              <w:t>Linked Service = connection. Dataset = data location/shape. Pipeline = workflow. Activity = action.</w:t>
            </w:r>
          </w:p>
        </w:tc>
      </w:tr>
    </w:tbl>
    <w:p/>
    <w:p>
      <w:r>
        <w:rPr>
          <w:b/>
        </w:rPr>
        <w:t>Interview: Linked Service vs Dataset?</w:t>
      </w:r>
      <w:r>
        <w:br/>
        <w:t>A Linked Service defines connection information to a data store or compute service; a Dataset represents the specific data structure/location consumed or produced by an activity.</w:t>
      </w:r>
    </w:p>
    <w:p>
      <w:pPr>
        <w:pStyle w:val="Heading2"/>
        <w:keepNext/>
      </w:pPr>
      <w:r>
        <w:t>2.4 Pipeline, Activity, Source and Sink</w:t>
      </w:r>
    </w:p>
    <w:p>
      <w:pPr>
        <w:spacing w:after="100"/>
      </w:pPr>
      <w:r>
        <w:rPr>
          <w:b w:val="0"/>
          <w:i w:val="0"/>
        </w:rPr>
        <w:t>A pipeline is the workflow container. Activities are the individual steps. In Copy Activity, the input side is the source and ADF commonly calls the destination the sink.</w:t>
      </w:r>
    </w:p>
    <w:tbl>
      <w:tblPr>
        <w:tblStyle w:val="TableGrid"/>
        <w:tblW w:type="auto" w:w="0"/>
        <w:jc w:val="center"/>
        <w:tblLook w:firstColumn="1" w:firstRow="1" w:lastColumn="0" w:lastRow="0" w:noHBand="0" w:noVBand="1" w:val="04A0"/>
      </w:tblPr>
      <w:tblGrid>
        <w:gridCol w:w="5083"/>
        <w:gridCol w:w="5083"/>
      </w:tblGrid>
      <w:tr>
        <w:tc>
          <w:tcPr>
            <w:tcW w:type="dxa" w:w="5083"/>
            <w:shd w:fill="D6EAF8"/>
            <w:vAlign w:val="center"/>
          </w:tcPr>
          <w:p>
            <w:r>
              <w:rPr>
                <w:b/>
              </w:rPr>
              <w:t>Term</w:t>
            </w:r>
          </w:p>
        </w:tc>
        <w:tc>
          <w:tcPr>
            <w:tcW w:type="dxa" w:w="5083"/>
            <w:shd w:fill="D6EAF8"/>
            <w:vAlign w:val="center"/>
          </w:tcPr>
          <w:p>
            <w:r>
              <w:rPr>
                <w:b/>
              </w:rPr>
              <w:t>Meaning</w:t>
            </w:r>
          </w:p>
        </w:tc>
      </w:tr>
      <w:tr>
        <w:tc>
          <w:tcPr>
            <w:tcW w:type="dxa" w:w="5083"/>
            <w:vAlign w:val="top"/>
          </w:tcPr>
          <w:p>
            <w:r>
              <w:t>Pipeline</w:t>
            </w:r>
          </w:p>
        </w:tc>
        <w:tc>
          <w:tcPr>
            <w:tcW w:type="dxa" w:w="5083"/>
            <w:vAlign w:val="top"/>
          </w:tcPr>
          <w:p>
            <w:r>
              <w:t>Workflow containing one or more activities</w:t>
            </w:r>
          </w:p>
        </w:tc>
      </w:tr>
      <w:tr>
        <w:tc>
          <w:tcPr>
            <w:tcW w:type="dxa" w:w="5083"/>
            <w:vAlign w:val="top"/>
          </w:tcPr>
          <w:p>
            <w:r>
              <w:t>Activity</w:t>
            </w:r>
          </w:p>
        </w:tc>
        <w:tc>
          <w:tcPr>
            <w:tcW w:type="dxa" w:w="5083"/>
            <w:vAlign w:val="top"/>
          </w:tcPr>
          <w:p>
            <w:r>
              <w:t>A unit of work: copy, metadata lookup, condition, data flow, etc.</w:t>
            </w:r>
          </w:p>
        </w:tc>
      </w:tr>
      <w:tr>
        <w:tc>
          <w:tcPr>
            <w:tcW w:type="dxa" w:w="5083"/>
            <w:vAlign w:val="top"/>
          </w:tcPr>
          <w:p>
            <w:r>
              <w:t>Source</w:t>
            </w:r>
          </w:p>
        </w:tc>
        <w:tc>
          <w:tcPr>
            <w:tcW w:type="dxa" w:w="5083"/>
            <w:vAlign w:val="top"/>
          </w:tcPr>
          <w:p>
            <w:r>
              <w:t>Where data is read from</w:t>
            </w:r>
          </w:p>
        </w:tc>
      </w:tr>
      <w:tr>
        <w:tc>
          <w:tcPr>
            <w:tcW w:type="dxa" w:w="5083"/>
            <w:vAlign w:val="top"/>
          </w:tcPr>
          <w:p>
            <w:r>
              <w:t>Sink</w:t>
            </w:r>
          </w:p>
        </w:tc>
        <w:tc>
          <w:tcPr>
            <w:tcW w:type="dxa" w:w="5083"/>
            <w:vAlign w:val="top"/>
          </w:tcPr>
          <w:p>
            <w:r>
              <w:t>Where data is written to</w:t>
            </w:r>
          </w:p>
        </w:tc>
      </w:tr>
    </w:tbl>
    <w:p/>
    <w:p>
      <w:pPr>
        <w:pStyle w:val="Heading2"/>
        <w:keepNext/>
      </w:pPr>
      <w:r>
        <w:t>2.5 Copy Activity</w:t>
      </w:r>
    </w:p>
    <w:p>
      <w:pPr>
        <w:spacing w:after="100"/>
      </w:pPr>
      <w:r>
        <w:rPr>
          <w:b w:val="0"/>
          <w:i w:val="0"/>
        </w:rPr>
        <w:t>Copy Activity is the workhorse for moving data between supported stores. The course builds a first pipeline that copies a file into another ADLS location and validates the result.</w:t>
      </w:r>
    </w:p>
    <w:p>
      <w:pPr>
        <w:pStyle w:val="Code"/>
        <w:spacing w:after="140"/>
        <w:ind w:left="360"/>
      </w:pPr>
      <w:r>
        <w:t>Source dataset  -&gt;  Copy Activity  -&gt;  Sink dataset</w:t>
        <w:br/>
        <w:t xml:space="preserve">       |                     |                 |</w:t>
        <w:br/>
        <w:t xml:space="preserve"> Linked Service         Pipeline run      Linked Service</w:t>
      </w:r>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Performance idea — </w:t>
            </w:r>
            <w:r>
              <w:t>Copy Activity moves data; it does not automatically make the data analytically “clean.” Transformation is a separate concern unless you explicitly configure mappings or transformations.</w:t>
            </w:r>
          </w:p>
        </w:tc>
      </w:tr>
    </w:tbl>
    <w:p/>
    <w:p>
      <w:pPr>
        <w:pStyle w:val="Heading2"/>
        <w:keepNext/>
      </w:pPr>
      <w:r>
        <w:t>2.6 ADF Studio workflow</w:t>
      </w:r>
    </w:p>
    <w:p>
      <w:pPr>
        <w:spacing w:after="100"/>
      </w:pPr>
      <w:r>
        <w:rPr>
          <w:b w:val="0"/>
          <w:i w:val="0"/>
        </w:rPr>
        <w:t>The course demonstrates creating ADF, launching Studio, authoring pipelines, configuring linked services/datasets, debugging/running, monitoring, and publishing changes.</w:t>
      </w:r>
    </w:p>
    <w:tbl>
      <w:tblPr>
        <w:tblStyle w:val="TableGrid"/>
        <w:tblW w:type="auto" w:w="0"/>
        <w:jc w:val="center"/>
        <w:tblLook w:firstColumn="1" w:firstRow="1" w:lastColumn="0" w:lastRow="0" w:noHBand="0" w:noVBand="1" w:val="04A0"/>
      </w:tblPr>
      <w:tblGrid>
        <w:gridCol w:w="5083"/>
        <w:gridCol w:w="5083"/>
      </w:tblGrid>
      <w:tr>
        <w:tc>
          <w:tcPr>
            <w:tcW w:type="dxa" w:w="5083"/>
            <w:shd w:fill="D6EAF8"/>
            <w:vAlign w:val="center"/>
          </w:tcPr>
          <w:p>
            <w:r>
              <w:rPr>
                <w:b/>
              </w:rPr>
              <w:t>ADF area</w:t>
            </w:r>
          </w:p>
        </w:tc>
        <w:tc>
          <w:tcPr>
            <w:tcW w:type="dxa" w:w="5083"/>
            <w:shd w:fill="D6EAF8"/>
            <w:vAlign w:val="center"/>
          </w:tcPr>
          <w:p>
            <w:r>
              <w:rPr>
                <w:b/>
              </w:rPr>
              <w:t>Purpose</w:t>
            </w:r>
          </w:p>
        </w:tc>
      </w:tr>
      <w:tr>
        <w:tc>
          <w:tcPr>
            <w:tcW w:type="dxa" w:w="5083"/>
            <w:vAlign w:val="top"/>
          </w:tcPr>
          <w:p>
            <w:r>
              <w:t>Author</w:t>
            </w:r>
          </w:p>
        </w:tc>
        <w:tc>
          <w:tcPr>
            <w:tcW w:type="dxa" w:w="5083"/>
            <w:vAlign w:val="top"/>
          </w:tcPr>
          <w:p>
            <w:r>
              <w:t>Build pipelines, datasets, data flows</w:t>
            </w:r>
          </w:p>
        </w:tc>
      </w:tr>
      <w:tr>
        <w:tc>
          <w:tcPr>
            <w:tcW w:type="dxa" w:w="5083"/>
            <w:vAlign w:val="top"/>
          </w:tcPr>
          <w:p>
            <w:r>
              <w:t>Monitor</w:t>
            </w:r>
          </w:p>
        </w:tc>
        <w:tc>
          <w:tcPr>
            <w:tcW w:type="dxa" w:w="5083"/>
            <w:vAlign w:val="top"/>
          </w:tcPr>
          <w:p>
            <w:r>
              <w:t>Inspect pipeline/activity/trigger runs</w:t>
            </w:r>
          </w:p>
        </w:tc>
      </w:tr>
      <w:tr>
        <w:tc>
          <w:tcPr>
            <w:tcW w:type="dxa" w:w="5083"/>
            <w:vAlign w:val="top"/>
          </w:tcPr>
          <w:p>
            <w:r>
              <w:t>Manage</w:t>
            </w:r>
          </w:p>
        </w:tc>
        <w:tc>
          <w:tcPr>
            <w:tcW w:type="dxa" w:w="5083"/>
            <w:vAlign w:val="top"/>
          </w:tcPr>
          <w:p>
            <w:r>
              <w:t>Linked services, integration runtimes, triggers and related configuration</w:t>
            </w:r>
          </w:p>
        </w:tc>
      </w:tr>
      <w:tr>
        <w:tc>
          <w:tcPr>
            <w:tcW w:type="dxa" w:w="5083"/>
            <w:vAlign w:val="top"/>
          </w:tcPr>
          <w:p>
            <w:r>
              <w:t>Publish All</w:t>
            </w:r>
          </w:p>
        </w:tc>
        <w:tc>
          <w:tcPr>
            <w:tcW w:type="dxa" w:w="5083"/>
            <w:vAlign w:val="top"/>
          </w:tcPr>
          <w:p>
            <w:r>
              <w:t>Publish authored changes to the live factory</w:t>
            </w:r>
          </w:p>
        </w:tc>
      </w:tr>
    </w:tbl>
    <w:p/>
    <w:p>
      <w:pPr>
        <w:pStyle w:val="Heading2"/>
        <w:keepNext/>
      </w:pPr>
      <w:r>
        <w:t>2.7 First practical pipeline</w:t>
      </w:r>
    </w:p>
    <w:p>
      <w:pPr>
        <w:spacing w:after="100"/>
      </w:pPr>
      <w:r>
        <w:rPr>
          <w:b w:val="0"/>
          <w:i w:val="0"/>
        </w:rPr>
        <w:t>Scenario: create storage locations, connect ADF to ADLS, create source and sink datasets, drag Copy Activity into a pipeline, run it, and verify that the file appears at the destination.</w:t>
      </w:r>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Practice task — </w:t>
            </w:r>
            <w:r>
              <w:t>Rebuild the pipeline without following the video. If you can explain why you need two datasets and at least one connection, you understand the foundation.</w:t>
            </w:r>
          </w:p>
        </w:tc>
      </w:tr>
    </w:tbl>
    <w:p/>
    <w:p>
      <w:pPr>
        <w:pStyle w:val="Heading3"/>
        <w:keepNext/>
      </w:pPr>
      <w:r>
        <w:t>Quick revision</w:t>
      </w:r>
    </w:p>
    <w:tbl>
      <w:tblPr>
        <w:tblStyle w:val="TableGrid"/>
        <w:tblW w:type="auto" w:w="0"/>
        <w:jc w:val="center"/>
        <w:tblLook w:firstColumn="1" w:firstRow="1" w:lastColumn="0" w:lastRow="0" w:noHBand="0" w:noVBand="1" w:val="04A0"/>
      </w:tblPr>
      <w:tblGrid>
        <w:gridCol w:w="5083"/>
        <w:gridCol w:w="5083"/>
      </w:tblGrid>
      <w:tr>
        <w:tc>
          <w:tcPr>
            <w:tcW w:type="dxa" w:w="5083"/>
            <w:shd w:fill="D6EAF8"/>
            <w:vAlign w:val="center"/>
          </w:tcPr>
          <w:p>
            <w:r>
              <w:rPr>
                <w:b/>
              </w:rPr>
              <w:t>Remember</w:t>
            </w:r>
          </w:p>
        </w:tc>
        <w:tc>
          <w:tcPr>
            <w:tcW w:type="dxa" w:w="5083"/>
            <w:shd w:fill="D6EAF8"/>
            <w:vAlign w:val="center"/>
          </w:tcPr>
          <w:p>
            <w:r>
              <w:rPr>
                <w:b/>
              </w:rPr>
              <w:t>Meaning</w:t>
            </w:r>
          </w:p>
        </w:tc>
      </w:tr>
      <w:tr>
        <w:tc>
          <w:tcPr>
            <w:tcW w:type="dxa" w:w="5083"/>
            <w:vAlign w:val="top"/>
          </w:tcPr>
          <w:p>
            <w:r>
              <w:t>ADF</w:t>
            </w:r>
          </w:p>
        </w:tc>
        <w:tc>
          <w:tcPr>
            <w:tcW w:type="dxa" w:w="5083"/>
            <w:vAlign w:val="top"/>
          </w:tcPr>
          <w:p>
            <w:r>
              <w:t>Integration + orchestration service</w:t>
            </w:r>
          </w:p>
        </w:tc>
      </w:tr>
      <w:tr>
        <w:tc>
          <w:tcPr>
            <w:tcW w:type="dxa" w:w="5083"/>
            <w:vAlign w:val="top"/>
          </w:tcPr>
          <w:p>
            <w:r>
              <w:t>Linked Service</w:t>
            </w:r>
          </w:p>
        </w:tc>
        <w:tc>
          <w:tcPr>
            <w:tcW w:type="dxa" w:w="5083"/>
            <w:vAlign w:val="top"/>
          </w:tcPr>
          <w:p>
            <w:r>
              <w:t>Connection information</w:t>
            </w:r>
          </w:p>
        </w:tc>
      </w:tr>
      <w:tr>
        <w:tc>
          <w:tcPr>
            <w:tcW w:type="dxa" w:w="5083"/>
            <w:vAlign w:val="top"/>
          </w:tcPr>
          <w:p>
            <w:r>
              <w:t>Dataset</w:t>
            </w:r>
          </w:p>
        </w:tc>
        <w:tc>
          <w:tcPr>
            <w:tcW w:type="dxa" w:w="5083"/>
            <w:vAlign w:val="top"/>
          </w:tcPr>
          <w:p>
            <w:r>
              <w:t>Specific data/location used by an activity</w:t>
            </w:r>
          </w:p>
        </w:tc>
      </w:tr>
      <w:tr>
        <w:tc>
          <w:tcPr>
            <w:tcW w:type="dxa" w:w="5083"/>
            <w:vAlign w:val="top"/>
          </w:tcPr>
          <w:p>
            <w:r>
              <w:t>Pipeline</w:t>
            </w:r>
          </w:p>
        </w:tc>
        <w:tc>
          <w:tcPr>
            <w:tcW w:type="dxa" w:w="5083"/>
            <w:vAlign w:val="top"/>
          </w:tcPr>
          <w:p>
            <w:r>
              <w:t>Workflow</w:t>
            </w:r>
          </w:p>
        </w:tc>
      </w:tr>
      <w:tr>
        <w:tc>
          <w:tcPr>
            <w:tcW w:type="dxa" w:w="5083"/>
            <w:vAlign w:val="top"/>
          </w:tcPr>
          <w:p>
            <w:r>
              <w:t>Activity</w:t>
            </w:r>
          </w:p>
        </w:tc>
        <w:tc>
          <w:tcPr>
            <w:tcW w:type="dxa" w:w="5083"/>
            <w:vAlign w:val="top"/>
          </w:tcPr>
          <w:p>
            <w:r>
              <w:t>One step inside a workflow</w:t>
            </w:r>
          </w:p>
        </w:tc>
      </w:tr>
      <w:tr>
        <w:tc>
          <w:tcPr>
            <w:tcW w:type="dxa" w:w="5083"/>
            <w:vAlign w:val="top"/>
          </w:tcPr>
          <w:p>
            <w:r>
              <w:t>Sink</w:t>
            </w:r>
          </w:p>
        </w:tc>
        <w:tc>
          <w:tcPr>
            <w:tcW w:type="dxa" w:w="5083"/>
            <w:vAlign w:val="top"/>
          </w:tcPr>
          <w:p>
            <w:r>
              <w:t>ADF term for destination</w:t>
            </w:r>
          </w:p>
        </w:tc>
      </w:tr>
      <w:tr>
        <w:tc>
          <w:tcPr>
            <w:tcW w:type="dxa" w:w="5083"/>
            <w:vAlign w:val="top"/>
          </w:tcPr>
          <w:p>
            <w:r>
              <w:t>Copy Activity</w:t>
            </w:r>
          </w:p>
        </w:tc>
        <w:tc>
          <w:tcPr>
            <w:tcW w:type="dxa" w:w="5083"/>
            <w:vAlign w:val="top"/>
          </w:tcPr>
          <w:p>
            <w:r>
              <w:t>Moves data between source and sink</w:t>
            </w:r>
          </w:p>
        </w:tc>
      </w:tr>
    </w:tbl>
    <w:p/>
    <w:p>
      <w:r>
        <w:br w:type="page"/>
      </w:r>
    </w:p>
    <w:p>
      <w:pPr>
        <w:pStyle w:val="Heading1"/>
        <w:keepNext/>
      </w:pPr>
      <w:r>
        <w:t>Chapter 3 — Advanced ADF &amp; Production Orchestration</w:t>
      </w:r>
    </w:p>
    <w:p>
      <w:pPr>
        <w:spacing w:after="100"/>
      </w:pPr>
      <w:r>
        <w:rPr>
          <w:b w:val="0"/>
          <w:i w:val="0"/>
        </w:rPr>
        <w:t>This chapter organizes the advanced material from the supplied ADF transcript: metadata-driven processing, loops and conditions, parameterized datasets, transformations, triggers, pipeline composition, debugging and the final production-style workflow.</w:t>
      </w:r>
    </w:p>
    <w:p>
      <w:pPr>
        <w:pStyle w:val="Heading2"/>
        <w:keepNext/>
      </w:pPr>
      <w:r>
        <w:t>3.1 Why metadata-driven pipelines?</w:t>
      </w:r>
    </w:p>
    <w:p>
      <w:pPr>
        <w:spacing w:after="100"/>
      </w:pPr>
      <w:r>
        <w:rPr>
          <w:b w:val="0"/>
          <w:i w:val="0"/>
        </w:rPr>
        <w:t>Hard-coding one filename works for a demo but breaks down when new files arrive. Metadata-driven design asks ADF to discover files/folders at runtime and then decide what to do with each item.</w:t>
      </w:r>
    </w:p>
    <w:p>
      <w:pPr>
        <w:jc w:val="center"/>
      </w:pPr>
      <w:r>
        <w:drawing>
          <wp:inline xmlns:a="http://schemas.openxmlformats.org/drawingml/2006/main" xmlns:pic="http://schemas.openxmlformats.org/drawingml/2006/picture">
            <wp:extent cx="6217920" cy="3086267"/>
            <wp:docPr id="7" name="Picture 7"/>
            <wp:cNvGraphicFramePr>
              <a:graphicFrameLocks noChangeAspect="1"/>
            </wp:cNvGraphicFramePr>
            <a:graphic>
              <a:graphicData uri="http://schemas.openxmlformats.org/drawingml/2006/picture">
                <pic:pic>
                  <pic:nvPicPr>
                    <pic:cNvPr id="0" name="metadata.png"/>
                    <pic:cNvPicPr/>
                  </pic:nvPicPr>
                  <pic:blipFill>
                    <a:blip r:embed="rId15"/>
                    <a:stretch>
                      <a:fillRect/>
                    </a:stretch>
                  </pic:blipFill>
                  <pic:spPr>
                    <a:xfrm>
                      <a:off x="0" y="0"/>
                      <a:ext cx="6217920" cy="3086267"/>
                    </a:xfrm>
                    <a:prstGeom prst="rect"/>
                  </pic:spPr>
                </pic:pic>
              </a:graphicData>
            </a:graphic>
          </wp:inline>
        </w:drawing>
      </w:r>
    </w:p>
    <w:p>
      <w:pPr>
        <w:pStyle w:val="Small"/>
        <w:jc w:val="center"/>
      </w:pPr>
      <w:r>
        <w:t>Figure 7. Metadata-driven selective file pipeline</w:t>
      </w:r>
    </w:p>
    <w:p>
      <w:pPr>
        <w:pStyle w:val="Heading2"/>
        <w:keepNext/>
      </w:pPr>
      <w:r>
        <w:t>3.2 Get Metadata Activity</w:t>
      </w:r>
    </w:p>
    <w:p>
      <w:pPr>
        <w:spacing w:after="100"/>
      </w:pPr>
      <w:r>
        <w:rPr>
          <w:b w:val="0"/>
          <w:i w:val="0"/>
        </w:rPr>
        <w:t>Get Metadata reads information about a file/folder rather than copying its contents. In the course, the important output is childItems: an array describing items inside a folder.</w:t>
      </w:r>
    </w:p>
    <w:p>
      <w:pPr>
        <w:pStyle w:val="Code"/>
        <w:spacing w:after="140"/>
        <w:ind w:left="360"/>
      </w:pPr>
      <w:r>
        <w:t>Illustrative output shape</w:t>
        <w:br/>
        <w:t>{</w:t>
        <w:br/>
        <w:t xml:space="preserve">  "childItems": [</w:t>
        <w:br/>
        <w:t xml:space="preserve">    {"name": "FactSales.csv", "type": "File"},</w:t>
        <w:br/>
        <w:t xml:space="preserve">    {"name": "Customers.csv", "type": "File"}</w:t>
        <w:br/>
        <w:t xml:space="preserve">  ]</w:t>
        <w:br/>
        <w:t>}</w:t>
      </w:r>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Programming connection — </w:t>
            </w:r>
            <w:r>
              <w:t>childItems is an array. ForEach iterates through it. Each element is object/dictionary-like, so you access fields such as name and type.</w:t>
            </w:r>
          </w:p>
        </w:tc>
      </w:tr>
    </w:tbl>
    <w:p/>
    <w:p>
      <w:pPr>
        <w:pStyle w:val="Heading2"/>
        <w:keepNext/>
      </w:pPr>
      <w:r>
        <w:t>3.3 ForEach Activity</w:t>
      </w:r>
    </w:p>
    <w:p>
      <w:pPr>
        <w:spacing w:after="100"/>
      </w:pPr>
      <w:r>
        <w:rPr>
          <w:b w:val="0"/>
          <w:i w:val="0"/>
        </w:rPr>
        <w:t>ForEach is ADF’s loop activity. Give it an array and it runs its inner activities for each element. The course discusses sequential execution and uses each current item in downstream expressions.</w:t>
      </w:r>
    </w:p>
    <w:p>
      <w:pPr>
        <w:pStyle w:val="Code"/>
        <w:spacing w:after="140"/>
        <w:ind w:left="360"/>
      </w:pPr>
      <w:r>
        <w:t>@activity('Get Metadata').output.childItems</w:t>
        <w:br/>
        <w:br/>
        <w:t># Inside the loop, conceptually:</w:t>
        <w:br/>
        <w:t>@item().name</w:t>
      </w:r>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PySpark analogy — </w:t>
            </w:r>
            <w:r>
              <w:t>ForEach is orchestration-level looping. In Spark transformations, avoid Python row-by-row loops for big data; Spark DataFrame operations are distributed and are usually the right tool for data transformation.</w:t>
            </w:r>
          </w:p>
        </w:tc>
      </w:tr>
    </w:tbl>
    <w:p/>
    <w:p>
      <w:pPr>
        <w:pStyle w:val="Heading2"/>
        <w:keepNext/>
      </w:pPr>
      <w:r>
        <w:t>3.4 If Condition and expression functions</w:t>
      </w:r>
    </w:p>
    <w:p>
      <w:pPr>
        <w:spacing w:after="100"/>
      </w:pPr>
      <w:r>
        <w:rPr>
          <w:b w:val="0"/>
          <w:i w:val="0"/>
        </w:rPr>
        <w:t>The course filters files by name: if the current filename starts with “Fact”, execute the true branch and copy it; otherwise do nothing.</w:t>
      </w:r>
    </w:p>
    <w:p>
      <w:pPr>
        <w:pStyle w:val="Code"/>
        <w:spacing w:after="140"/>
        <w:ind w:left="360"/>
      </w:pPr>
      <w:r>
        <w:t>@startsWith(item().name, 'Fact')</w:t>
      </w:r>
    </w:p>
    <w:p>
      <w:pPr>
        <w:spacing w:after="100"/>
      </w:pPr>
      <w:r>
        <w:rPr>
          <w:b w:val="0"/>
          <w:i w:val="0"/>
        </w:rPr>
        <w:t>This is a powerful pattern because the logic depends on metadata rather than a fixed list of files.</w:t>
      </w:r>
    </w:p>
    <w:p>
      <w:r>
        <w:rPr>
          <w:b/>
        </w:rPr>
        <w:t>Interview: How would you copy only files whose names start with Fact?</w:t>
      </w:r>
      <w:r>
        <w:br/>
        <w:t>Use Get Metadata to obtain childItems, ForEach over the array, If Condition with startsWith(item().name, 'Fact'), and Copy Activity in the true branch. Parameterize the dataset filename so each matching file is read dynamically.</w:t>
      </w:r>
    </w:p>
    <w:p>
      <w:pPr>
        <w:pStyle w:val="Heading2"/>
        <w:keepNext/>
      </w:pPr>
      <w:r>
        <w:t>3.5 Parameterized datasets</w:t>
      </w:r>
    </w:p>
    <w:p>
      <w:pPr>
        <w:spacing w:after="100"/>
      </w:pPr>
      <w:r>
        <w:rPr>
          <w:b w:val="0"/>
          <w:i w:val="0"/>
        </w:rPr>
        <w:t>A parameter turns a hard-coded property into a runtime input. The course parameterizes the source filename so the same dataset definition can read different files during each ForEach iteration.</w:t>
      </w:r>
    </w:p>
    <w:p>
      <w:pPr>
        <w:pStyle w:val="Code"/>
        <w:spacing w:after="140"/>
        <w:ind w:left="360"/>
      </w:pPr>
      <w:r>
        <w:t>Dataset parameter: fileName</w:t>
        <w:br/>
        <w:t>File path / name: @dataset().fileName</w:t>
        <w:br/>
        <w:br/>
        <w:t>From ForEach/Copy Activity:</w:t>
        <w:br/>
        <w:t>fileName = @item().name</w:t>
      </w:r>
    </w:p>
    <w:tbl>
      <w:tblPr>
        <w:tblStyle w:val="TableGrid"/>
        <w:tblW w:type="auto" w:w="0"/>
        <w:jc w:val="center"/>
        <w:tblLook w:firstColumn="1" w:firstRow="1" w:lastColumn="0" w:lastRow="0" w:noHBand="0" w:noVBand="1" w:val="04A0"/>
      </w:tblPr>
      <w:tblGrid>
        <w:gridCol w:w="5083"/>
        <w:gridCol w:w="5083"/>
      </w:tblGrid>
      <w:tr>
        <w:tc>
          <w:tcPr>
            <w:tcW w:type="dxa" w:w="5083"/>
            <w:shd w:fill="D6EAF8"/>
            <w:vAlign w:val="center"/>
          </w:tcPr>
          <w:p>
            <w:r>
              <w:rPr>
                <w:b/>
              </w:rPr>
              <w:t>Hard-coded dataset</w:t>
            </w:r>
          </w:p>
        </w:tc>
        <w:tc>
          <w:tcPr>
            <w:tcW w:type="dxa" w:w="5083"/>
            <w:shd w:fill="D6EAF8"/>
            <w:vAlign w:val="center"/>
          </w:tcPr>
          <w:p>
            <w:r>
              <w:rPr>
                <w:b/>
              </w:rPr>
              <w:t>Parameterized dataset</w:t>
            </w:r>
          </w:p>
        </w:tc>
      </w:tr>
      <w:tr>
        <w:tc>
          <w:tcPr>
            <w:tcW w:type="dxa" w:w="5083"/>
            <w:vAlign w:val="top"/>
          </w:tcPr>
          <w:p>
            <w:r>
              <w:t>Works for one known filename</w:t>
            </w:r>
          </w:p>
        </w:tc>
        <w:tc>
          <w:tcPr>
            <w:tcW w:type="dxa" w:w="5083"/>
            <w:vAlign w:val="top"/>
          </w:tcPr>
          <w:p>
            <w:r>
              <w:t>Reusable for many filenames</w:t>
            </w:r>
          </w:p>
        </w:tc>
      </w:tr>
      <w:tr>
        <w:tc>
          <w:tcPr>
            <w:tcW w:type="dxa" w:w="5083"/>
            <w:vAlign w:val="top"/>
          </w:tcPr>
          <w:p>
            <w:r>
              <w:t>Requires edits for each file</w:t>
            </w:r>
          </w:p>
        </w:tc>
        <w:tc>
          <w:tcPr>
            <w:tcW w:type="dxa" w:w="5083"/>
            <w:vAlign w:val="top"/>
          </w:tcPr>
          <w:p>
            <w:r>
              <w:t>Runtime value supplied by pipeline/activity</w:t>
            </w:r>
          </w:p>
        </w:tc>
      </w:tr>
      <w:tr>
        <w:tc>
          <w:tcPr>
            <w:tcW w:type="dxa" w:w="5083"/>
            <w:vAlign w:val="top"/>
          </w:tcPr>
          <w:p>
            <w:r>
              <w:t>Poor for metadata-driven ingestion</w:t>
            </w:r>
          </w:p>
        </w:tc>
        <w:tc>
          <w:tcPr>
            <w:tcW w:type="dxa" w:w="5083"/>
            <w:vAlign w:val="top"/>
          </w:tcPr>
          <w:p>
            <w:r>
              <w:t>Good for scalable ingestion patterns</w:t>
            </w:r>
          </w:p>
        </w:tc>
      </w:tr>
    </w:tbl>
    <w:p/>
    <w:p>
      <w:pPr>
        <w:pStyle w:val="Heading2"/>
        <w:keepNext/>
      </w:pPr>
      <w:r>
        <w:t>3.6 Mapping Data Flow</w:t>
      </w:r>
    </w:p>
    <w:p>
      <w:pPr>
        <w:spacing w:after="100"/>
      </w:pPr>
      <w:r>
        <w:rPr>
          <w:b w:val="0"/>
          <w:i w:val="0"/>
        </w:rPr>
        <w:t>The transcript introduces ADF Data Flow as the visual transformation capability backed by Spark. You configure transformations in a GUI while ADF runs distributed compute behind the scenes.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6EAF8"/>
            <w:vAlign w:val="center"/>
          </w:tcPr>
          <w:p>
            <w:r>
              <w:rPr>
                <w:b/>
              </w:rPr>
              <w:t>Transformation idea</w:t>
            </w:r>
          </w:p>
        </w:tc>
        <w:tc>
          <w:tcPr>
            <w:tcW w:type="dxa" w:w="3389"/>
            <w:shd w:fill="D6EAF8"/>
            <w:vAlign w:val="center"/>
          </w:tcPr>
          <w:p>
            <w:r>
              <w:rPr>
                <w:b/>
              </w:rPr>
              <w:t>What it does</w:t>
            </w:r>
          </w:p>
        </w:tc>
        <w:tc>
          <w:tcPr>
            <w:tcW w:type="dxa" w:w="3389"/>
            <w:shd w:fill="D6EAF8"/>
            <w:vAlign w:val="center"/>
          </w:tcPr>
          <w:p>
            <w:r>
              <w:rPr>
                <w:b/>
              </w:rPr>
              <w:t>SQL/PySpark equivalent</w:t>
            </w:r>
          </w:p>
        </w:tc>
      </w:tr>
      <w:tr>
        <w:tc>
          <w:tcPr>
            <w:tcW w:type="dxa" w:w="3389"/>
            <w:vAlign w:val="top"/>
          </w:tcPr>
          <w:p>
            <w:r>
              <w:t>Filter</w:t>
            </w:r>
          </w:p>
        </w:tc>
        <w:tc>
          <w:tcPr>
            <w:tcW w:type="dxa" w:w="3389"/>
            <w:vAlign w:val="top"/>
          </w:tcPr>
          <w:p>
            <w:r>
              <w:t>Keep matching rows</w:t>
            </w:r>
          </w:p>
        </w:tc>
        <w:tc>
          <w:tcPr>
            <w:tcW w:type="dxa" w:w="3389"/>
            <w:vAlign w:val="top"/>
          </w:tcPr>
          <w:p>
            <w:r>
              <w:t>WHERE / df.filter()</w:t>
            </w:r>
          </w:p>
        </w:tc>
      </w:tr>
      <w:tr>
        <w:tc>
          <w:tcPr>
            <w:tcW w:type="dxa" w:w="3389"/>
            <w:vAlign w:val="top"/>
          </w:tcPr>
          <w:p>
            <w:r>
              <w:t>Select</w:t>
            </w:r>
          </w:p>
        </w:tc>
        <w:tc>
          <w:tcPr>
            <w:tcW w:type="dxa" w:w="3389"/>
            <w:vAlign w:val="top"/>
          </w:tcPr>
          <w:p>
            <w:r>
              <w:t>Choose/rename columns</w:t>
            </w:r>
          </w:p>
        </w:tc>
        <w:tc>
          <w:tcPr>
            <w:tcW w:type="dxa" w:w="3389"/>
            <w:vAlign w:val="top"/>
          </w:tcPr>
          <w:p>
            <w:r>
              <w:t>SELECT / df.select()</w:t>
            </w:r>
          </w:p>
        </w:tc>
      </w:tr>
      <w:tr>
        <w:tc>
          <w:tcPr>
            <w:tcW w:type="dxa" w:w="3389"/>
            <w:vAlign w:val="top"/>
          </w:tcPr>
          <w:p>
            <w:r>
              <w:t>Derived Column</w:t>
            </w:r>
          </w:p>
        </w:tc>
        <w:tc>
          <w:tcPr>
            <w:tcW w:type="dxa" w:w="3389"/>
            <w:vAlign w:val="top"/>
          </w:tcPr>
          <w:p>
            <w:r>
              <w:t>Create calculated column</w:t>
            </w:r>
          </w:p>
        </w:tc>
        <w:tc>
          <w:tcPr>
            <w:tcW w:type="dxa" w:w="3389"/>
            <w:vAlign w:val="top"/>
          </w:tcPr>
          <w:p>
            <w:r>
              <w:t>expression / withColumn()</w:t>
            </w:r>
          </w:p>
        </w:tc>
      </w:tr>
      <w:tr>
        <w:tc>
          <w:tcPr>
            <w:tcW w:type="dxa" w:w="3389"/>
            <w:vAlign w:val="top"/>
          </w:tcPr>
          <w:p>
            <w:r>
              <w:t>Aggregate</w:t>
            </w:r>
          </w:p>
        </w:tc>
        <w:tc>
          <w:tcPr>
            <w:tcW w:type="dxa" w:w="3389"/>
            <w:vAlign w:val="top"/>
          </w:tcPr>
          <w:p>
            <w:r>
              <w:t>Group and summarize</w:t>
            </w:r>
          </w:p>
        </w:tc>
        <w:tc>
          <w:tcPr>
            <w:tcW w:type="dxa" w:w="3389"/>
            <w:vAlign w:val="top"/>
          </w:tcPr>
          <w:p>
            <w:r>
              <w:t>GROUP BY / groupBy().agg()</w:t>
            </w:r>
          </w:p>
        </w:tc>
      </w:tr>
      <w:tr>
        <w:tc>
          <w:tcPr>
            <w:tcW w:type="dxa" w:w="3389"/>
            <w:vAlign w:val="top"/>
          </w:tcPr>
          <w:p>
            <w:r>
              <w:t>Conditional Split</w:t>
            </w:r>
          </w:p>
        </w:tc>
        <w:tc>
          <w:tcPr>
            <w:tcW w:type="dxa" w:w="3389"/>
            <w:vAlign w:val="top"/>
          </w:tcPr>
          <w:p>
            <w:r>
              <w:t>Route rows by condition</w:t>
            </w:r>
          </w:p>
        </w:tc>
        <w:tc>
          <w:tcPr>
            <w:tcW w:type="dxa" w:w="3389"/>
            <w:vAlign w:val="top"/>
          </w:tcPr>
          <w:p>
            <w:r>
              <w:t>CASE/filter branches</w:t>
            </w:r>
          </w:p>
        </w:tc>
      </w:tr>
      <w:tr>
        <w:tc>
          <w:tcPr>
            <w:tcW w:type="dxa" w:w="3389"/>
            <w:vAlign w:val="top"/>
          </w:tcPr>
          <w:p>
            <w:r>
              <w:t>Join</w:t>
            </w:r>
          </w:p>
        </w:tc>
        <w:tc>
          <w:tcPr>
            <w:tcW w:type="dxa" w:w="3389"/>
            <w:vAlign w:val="top"/>
          </w:tcPr>
          <w:p>
            <w:r>
              <w:t>Combine datasets</w:t>
            </w:r>
          </w:p>
        </w:tc>
        <w:tc>
          <w:tcPr>
            <w:tcW w:type="dxa" w:w="3389"/>
            <w:vAlign w:val="top"/>
          </w:tcPr>
          <w:p>
            <w:r>
              <w:t>JOIN / df.join()</w:t>
            </w:r>
          </w:p>
        </w:tc>
      </w:tr>
    </w:tbl>
    <w:p/>
    <w:p>
      <w:pPr>
        <w:pStyle w:val="Code"/>
        <w:spacing w:after="140"/>
        <w:ind w:left="360"/>
      </w:pPr>
      <w:r>
        <w:t>-- SQL example: aggregate sales</w:t>
        <w:br/>
        <w:t>SELECT customer_id, SUM(amount) AS total_sales</w:t>
        <w:br/>
        <w:t>FROM sales</w:t>
        <w:br/>
        <w:t>GROUP BY customer_id;</w:t>
      </w:r>
    </w:p>
    <w:p>
      <w:pPr>
        <w:pStyle w:val="Code"/>
        <w:spacing w:after="140"/>
        <w:ind w:left="360"/>
      </w:pPr>
      <w:r>
        <w:t># PySpark equivalent</w:t>
        <w:br/>
        <w:t>from pyspark.sql import functions as F</w:t>
        <w:br/>
        <w:t>result = (sales</w:t>
        <w:br/>
        <w:t xml:space="preserve">          .groupBy("customer_id")</w:t>
        <w:br/>
        <w:t xml:space="preserve">          .agg(F.sum("amount").alias("total_sales")))</w:t>
      </w:r>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When to use what — </w:t>
            </w:r>
            <w:r>
              <w:t>ADF Data Flow is convenient for visual/no-code transformations. Databricks/PySpark is often preferred when transformations become code-heavy, reusable, testable or very complex. The right choice depends on the project.</w:t>
            </w:r>
          </w:p>
        </w:tc>
      </w:tr>
    </w:tbl>
    <w:p/>
    <w:p>
      <w:pPr>
        <w:pStyle w:val="Heading2"/>
        <w:keepNext/>
      </w:pPr>
      <w:r>
        <w:t>3.7 Triggers</w:t>
      </w:r>
    </w:p>
    <w:p>
      <w:pPr>
        <w:spacing w:after="100"/>
      </w:pPr>
      <w:r>
        <w:rPr>
          <w:b w:val="0"/>
          <w:i w:val="0"/>
        </w:rPr>
        <w:t>A trigger starts a pipeline automatically. The transcript discusses scheduled/tumbling-window concepts and then builds a Storage Event trigger so a pipeline starts when a file arrives.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6EAF8"/>
            <w:vAlign w:val="center"/>
          </w:tcPr>
          <w:p>
            <w:r>
              <w:rPr>
                <w:b/>
              </w:rPr>
              <w:t>Trigger type</w:t>
            </w:r>
          </w:p>
        </w:tc>
        <w:tc>
          <w:tcPr>
            <w:tcW w:type="dxa" w:w="3389"/>
            <w:shd w:fill="D6EAF8"/>
            <w:vAlign w:val="center"/>
          </w:tcPr>
          <w:p>
            <w:r>
              <w:rPr>
                <w:b/>
              </w:rPr>
              <w:t>Starts pipeline when…</w:t>
            </w:r>
          </w:p>
        </w:tc>
        <w:tc>
          <w:tcPr>
            <w:tcW w:type="dxa" w:w="3389"/>
            <w:shd w:fill="D6EAF8"/>
            <w:vAlign w:val="center"/>
          </w:tcPr>
          <w:p>
            <w:r>
              <w:rPr>
                <w:b/>
              </w:rPr>
              <w:t>Typical use</w:t>
            </w:r>
          </w:p>
        </w:tc>
      </w:tr>
      <w:tr>
        <w:tc>
          <w:tcPr>
            <w:tcW w:type="dxa" w:w="3389"/>
            <w:vAlign w:val="top"/>
          </w:tcPr>
          <w:p>
            <w:r>
              <w:t>Schedule</w:t>
            </w:r>
          </w:p>
        </w:tc>
        <w:tc>
          <w:tcPr>
            <w:tcW w:type="dxa" w:w="3389"/>
            <w:vAlign w:val="top"/>
          </w:tcPr>
          <w:p>
            <w:r>
              <w:t>A clock schedule occurs</w:t>
            </w:r>
          </w:p>
        </w:tc>
        <w:tc>
          <w:tcPr>
            <w:tcW w:type="dxa" w:w="3389"/>
            <w:vAlign w:val="top"/>
          </w:tcPr>
          <w:p>
            <w:r>
              <w:t>Daily/hourly batch</w:t>
            </w:r>
          </w:p>
        </w:tc>
      </w:tr>
      <w:tr>
        <w:tc>
          <w:tcPr>
            <w:tcW w:type="dxa" w:w="3389"/>
            <w:vAlign w:val="top"/>
          </w:tcPr>
          <w:p>
            <w:r>
              <w:t>Tumbling Window</w:t>
            </w:r>
          </w:p>
        </w:tc>
        <w:tc>
          <w:tcPr>
            <w:tcW w:type="dxa" w:w="3389"/>
            <w:vAlign w:val="top"/>
          </w:tcPr>
          <w:p>
            <w:r>
              <w:t>A fixed, stateful time window is due</w:t>
            </w:r>
          </w:p>
        </w:tc>
        <w:tc>
          <w:tcPr>
            <w:tcW w:type="dxa" w:w="3389"/>
            <w:vAlign w:val="top"/>
          </w:tcPr>
          <w:p>
            <w:r>
              <w:t>Windowed batch processing/dependencies</w:t>
            </w:r>
          </w:p>
        </w:tc>
      </w:tr>
      <w:tr>
        <w:tc>
          <w:tcPr>
            <w:tcW w:type="dxa" w:w="3389"/>
            <w:vAlign w:val="top"/>
          </w:tcPr>
          <w:p>
            <w:r>
              <w:t>Storage Event</w:t>
            </w:r>
          </w:p>
        </w:tc>
        <w:tc>
          <w:tcPr>
            <w:tcW w:type="dxa" w:w="3389"/>
            <w:vAlign w:val="top"/>
          </w:tcPr>
          <w:p>
            <w:r>
              <w:t>A blob/file event occurs</w:t>
            </w:r>
          </w:p>
        </w:tc>
        <w:tc>
          <w:tcPr>
            <w:tcW w:type="dxa" w:w="3389"/>
            <w:vAlign w:val="top"/>
          </w:tcPr>
          <w:p>
            <w:r>
              <w:t>Event-driven ingestion as soon as data lands</w:t>
            </w:r>
          </w:p>
        </w:tc>
      </w:tr>
    </w:tbl>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Course production scenario — </w:t>
            </w:r>
            <w:r>
              <w:t>A manager may drop a file at an unpredictable time—even 2:00 a.m. A Storage Event trigger removes the need to poll manually or wait for a fixed daily schedule.</w:t>
            </w:r>
          </w:p>
        </w:tc>
      </w:tr>
    </w:tbl>
    <w:p/>
    <w:p>
      <w:pPr>
        <w:pStyle w:val="Heading2"/>
        <w:keepNext/>
      </w:pPr>
      <w:r>
        <w:t>3.8 Event Grid registration and troubleshooting</w:t>
      </w:r>
    </w:p>
    <w:p>
      <w:pPr>
        <w:spacing w:after="100"/>
      </w:pPr>
      <w:r>
        <w:rPr>
          <w:b w:val="0"/>
          <w:i w:val="0"/>
        </w:rPr>
        <w:t>While configuring the storage-event trigger, the course hits a subscription/provider registration issue and registers Microsoft.EventGrid. This is a valuable real-world lesson: cloud pipelines fail for platform/configuration reasons as well as data/code reasons.</w:t>
      </w:r>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Troubleshooting habit — </w:t>
            </w:r>
            <w:r>
              <w:t>Read the exact error → identify the failing Azure capability → check subscription/provider registration, permissions, networking and resource configuration → retry → validate in Monitor.</w:t>
            </w:r>
          </w:p>
        </w:tc>
      </w:tr>
    </w:tbl>
    <w:p/>
    <w:p>
      <w:pPr>
        <w:pStyle w:val="Heading2"/>
        <w:keepNext/>
      </w:pPr>
      <w:r>
        <w:t>3.9 Execute Pipeline and parent/child orchestration</w:t>
      </w:r>
    </w:p>
    <w:p>
      <w:pPr>
        <w:spacing w:after="100"/>
      </w:pPr>
      <w:r>
        <w:rPr>
          <w:b w:val="0"/>
          <w:i w:val="0"/>
        </w:rPr>
        <w:t>Execute Pipeline lets one pipeline invoke another. This allows smaller pipelines to be composed into a parent/production workflow instead of building one enormous canvas.</w:t>
      </w:r>
    </w:p>
    <w:tbl>
      <w:tblPr>
        <w:tblStyle w:val="TableGrid"/>
        <w:tblW w:type="auto" w:w="0"/>
        <w:jc w:val="center"/>
        <w:tblLook w:firstColumn="1" w:firstRow="1" w:lastColumn="0" w:lastRow="0" w:noHBand="0" w:noVBand="1" w:val="04A0"/>
      </w:tblPr>
      <w:tblGrid>
        <w:gridCol w:w="5083"/>
        <w:gridCol w:w="5083"/>
      </w:tblGrid>
      <w:tr>
        <w:tc>
          <w:tcPr>
            <w:tcW w:type="dxa" w:w="5083"/>
            <w:shd w:fill="D6EAF8"/>
            <w:vAlign w:val="center"/>
          </w:tcPr>
          <w:p>
            <w:r>
              <w:rPr>
                <w:b/>
              </w:rPr>
              <w:t>Design</w:t>
            </w:r>
          </w:p>
        </w:tc>
        <w:tc>
          <w:tcPr>
            <w:tcW w:type="dxa" w:w="5083"/>
            <w:shd w:fill="D6EAF8"/>
            <w:vAlign w:val="center"/>
          </w:tcPr>
          <w:p>
            <w:r>
              <w:rPr>
                <w:b/>
              </w:rPr>
              <w:t>Advantage</w:t>
            </w:r>
          </w:p>
        </w:tc>
      </w:tr>
      <w:tr>
        <w:tc>
          <w:tcPr>
            <w:tcW w:type="dxa" w:w="5083"/>
            <w:vAlign w:val="top"/>
          </w:tcPr>
          <w:p>
            <w:r>
              <w:t>Child pipelines</w:t>
            </w:r>
          </w:p>
        </w:tc>
        <w:tc>
          <w:tcPr>
            <w:tcW w:type="dxa" w:w="5083"/>
            <w:vAlign w:val="top"/>
          </w:tcPr>
          <w:p>
            <w:r>
              <w:t>Encapsulate one responsibility</w:t>
            </w:r>
          </w:p>
        </w:tc>
      </w:tr>
      <w:tr>
        <w:tc>
          <w:tcPr>
            <w:tcW w:type="dxa" w:w="5083"/>
            <w:vAlign w:val="top"/>
          </w:tcPr>
          <w:p>
            <w:r>
              <w:t>Parent pipeline</w:t>
            </w:r>
          </w:p>
        </w:tc>
        <w:tc>
          <w:tcPr>
            <w:tcW w:type="dxa" w:w="5083"/>
            <w:vAlign w:val="top"/>
          </w:tcPr>
          <w:p>
            <w:r>
              <w:t>Coordinates the end-to-end sequence</w:t>
            </w:r>
          </w:p>
        </w:tc>
      </w:tr>
      <w:tr>
        <w:tc>
          <w:tcPr>
            <w:tcW w:type="dxa" w:w="5083"/>
            <w:vAlign w:val="top"/>
          </w:tcPr>
          <w:p>
            <w:r>
              <w:t>On-success dependencies</w:t>
            </w:r>
          </w:p>
        </w:tc>
        <w:tc>
          <w:tcPr>
            <w:tcW w:type="dxa" w:w="5083"/>
            <w:vAlign w:val="top"/>
          </w:tcPr>
          <w:p>
            <w:r>
              <w:t>Run next step only after prior success</w:t>
            </w:r>
          </w:p>
        </w:tc>
      </w:tr>
      <w:tr>
        <w:tc>
          <w:tcPr>
            <w:tcW w:type="dxa" w:w="5083"/>
            <w:vAlign w:val="top"/>
          </w:tcPr>
          <w:p>
            <w:r>
              <w:t>Reusable pipelines</w:t>
            </w:r>
          </w:p>
        </w:tc>
        <w:tc>
          <w:tcPr>
            <w:tcW w:type="dxa" w:w="5083"/>
            <w:vAlign w:val="top"/>
          </w:tcPr>
          <w:p>
            <w:r>
              <w:t>Same child can be invoked from multiple workflows</w:t>
            </w:r>
          </w:p>
        </w:tc>
      </w:tr>
    </w:tbl>
    <w:p/>
    <w:p>
      <w:pPr>
        <w:pStyle w:val="Heading2"/>
        <w:keepNext/>
      </w:pPr>
      <w:r>
        <w:t>3.10 Final production-style pipeline</w:t>
      </w:r>
    </w:p>
    <w:p>
      <w:pPr>
        <w:jc w:val="center"/>
      </w:pPr>
      <w:r>
        <w:drawing>
          <wp:inline xmlns:a="http://schemas.openxmlformats.org/drawingml/2006/main" xmlns:pic="http://schemas.openxmlformats.org/drawingml/2006/picture">
            <wp:extent cx="6217920" cy="3130206"/>
            <wp:docPr id="8" name="Picture 8"/>
            <wp:cNvGraphicFramePr>
              <a:graphicFrameLocks noChangeAspect="1"/>
            </wp:cNvGraphicFramePr>
            <a:graphic>
              <a:graphicData uri="http://schemas.openxmlformats.org/drawingml/2006/picture">
                <pic:pic>
                  <pic:nvPicPr>
                    <pic:cNvPr id="0" name="production.png"/>
                    <pic:cNvPicPr/>
                  </pic:nvPicPr>
                  <pic:blipFill>
                    <a:blip r:embed="rId16"/>
                    <a:stretch>
                      <a:fillRect/>
                    </a:stretch>
                  </pic:blipFill>
                  <pic:spPr>
                    <a:xfrm>
                      <a:off x="0" y="0"/>
                      <a:ext cx="6217920" cy="3130206"/>
                    </a:xfrm>
                    <a:prstGeom prst="rect"/>
                  </pic:spPr>
                </pic:pic>
              </a:graphicData>
            </a:graphic>
          </wp:inline>
        </w:drawing>
      </w:r>
    </w:p>
    <w:p>
      <w:pPr>
        <w:pStyle w:val="Small"/>
        <w:jc w:val="center"/>
      </w:pPr>
      <w:r>
        <w:t>Figure 8. Production orchestration assembled from the course patterns</w:t>
      </w:r>
    </w:p>
    <w:p>
      <w:pPr>
        <w:spacing w:after="100"/>
      </w:pPr>
      <w:r>
        <w:rPr>
          <w:b w:val="0"/>
          <w:i w:val="0"/>
        </w:rPr>
        <w:t>The final flow combines earlier skills: an event starts the parent pipeline; source data is copied; another pipeline can pull supporting data; metadata discovers files; ForEach and If Condition select the right files; parameterized Copy Activity moves them; Data Flow transforms data; and monitoring validates the run.</w:t>
      </w:r>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What makes this “production-like” — </w:t>
            </w:r>
            <w:r>
              <w:t>Automation, dynamic metadata, reusable parameters, conditional logic, modular pipelines, triggers, monitoring and debugging are the important engineering ideas—not simply the number of activities on the canvas.</w:t>
            </w:r>
          </w:p>
        </w:tc>
      </w:tr>
    </w:tbl>
    <w:p/>
    <w:p>
      <w:pPr>
        <w:pStyle w:val="Heading2"/>
        <w:keepNext/>
      </w:pPr>
      <w:r>
        <w:t>3.11 SQL and PySpark connection to the ADF pipeline</w:t>
      </w:r>
    </w:p>
    <w:p>
      <w:pPr>
        <w:spacing w:after="100"/>
      </w:pPr>
      <w:r>
        <w:rPr>
          <w:b w:val="0"/>
          <w:i w:val="0"/>
        </w:rPr>
        <w:t>ADF usually orchestrates movement and calls transformation engines. A common real-world pattern is ADF → ADLS → Databricks/PySpark → Delta/curated tables → SQL/BI.</w:t>
      </w:r>
    </w:p>
    <w:p>
      <w:pPr>
        <w:pStyle w:val="Code"/>
        <w:spacing w:after="140"/>
        <w:ind w:left="360"/>
      </w:pPr>
      <w:r>
        <w:t># Example notebook logic that ADF could orchestrate</w:t>
        <w:br/>
        <w:t>from pyspark.sql import functions as F</w:t>
        <w:br/>
        <w:br/>
        <w:t>raw = spark.read.option("header", True).csv("/mnt/raw/fact_sales/*.csv")</w:t>
        <w:br/>
        <w:t>clean = (raw</w:t>
        <w:br/>
        <w:t xml:space="preserve">         .withColumn("amount", F.col("amount").cast("double"))</w:t>
        <w:br/>
        <w:t xml:space="preserve">         .filter(F.col("amount").isNotNull())</w:t>
        <w:br/>
        <w:t xml:space="preserve">         .dropDuplicates())</w:t>
        <w:br/>
        <w:br/>
        <w:t>(clean.write</w:t>
        <w:br/>
        <w:t xml:space="preserve">      .format("delta")</w:t>
        <w:br/>
        <w:t xml:space="preserve">      .mode("append")</w:t>
        <w:br/>
        <w:t xml:space="preserve">      .save("/mnt/silver/fact_sales"))</w:t>
      </w:r>
    </w:p>
    <w:p>
      <w:pPr>
        <w:pStyle w:val="Code"/>
        <w:spacing w:after="140"/>
        <w:ind w:left="360"/>
      </w:pPr>
      <w:r>
        <w:t>-- Downstream SQL analytics</w:t>
        <w:br/>
        <w:t>SELECT product_id,</w:t>
        <w:br/>
        <w:t xml:space="preserve">       SUM(amount) AS revenue</w:t>
        <w:br/>
        <w:t>FROM silver_fact_sales</w:t>
        <w:br/>
        <w:t>GROUP BY product_id</w:t>
        <w:br/>
        <w:t>ORDER BY revenue DESC;</w:t>
      </w:r>
    </w:p>
    <w:p>
      <w:pPr>
        <w:pStyle w:val="Heading2"/>
        <w:keepNext/>
      </w:pPr>
      <w:r>
        <w:t>3.12 Common mistakes</w:t>
      </w:r>
    </w:p>
    <w:p>
      <w:pPr>
        <w:pStyle w:val="ListBullet"/>
      </w:pPr>
      <w:r>
        <w:t>Hard-coding filenames when the arrival pattern is dynamic.</w:t>
      </w:r>
    </w:p>
    <w:p>
      <w:pPr>
        <w:pStyle w:val="ListBullet"/>
      </w:pPr>
      <w:r>
        <w:t>Confusing Linked Service (connection) with Dataset (specific data).</w:t>
      </w:r>
    </w:p>
    <w:p>
      <w:pPr>
        <w:pStyle w:val="ListBullet"/>
      </w:pPr>
      <w:r>
        <w:t>Using a schedule trigger when the real requirement is “run immediately when a file arrives.”</w:t>
      </w:r>
    </w:p>
    <w:p>
      <w:pPr>
        <w:pStyle w:val="ListBullet"/>
      </w:pPr>
      <w:r>
        <w:t>Forgetting to Publish All after authoring changes.</w:t>
      </w:r>
    </w:p>
    <w:p>
      <w:pPr>
        <w:pStyle w:val="ListBullet"/>
      </w:pPr>
      <w:r>
        <w:t>Ignoring provider registration, RBAC or network errors because the pipeline logic “looks correct.”</w:t>
      </w:r>
    </w:p>
    <w:p>
      <w:pPr>
        <w:pStyle w:val="ListBullet"/>
      </w:pPr>
      <w:r>
        <w:t>Building one huge pipeline instead of composing reusable child pipelines.</w:t>
      </w:r>
    </w:p>
    <w:p>
      <w:pPr>
        <w:pStyle w:val="ListBullet"/>
      </w:pPr>
      <w:r>
        <w:t>Using ADF orchestration loops as if they were a substitute for distributed Spark transformations.</w:t>
      </w:r>
    </w:p>
    <w:p>
      <w:pPr>
        <w:pStyle w:val="Heading2"/>
        <w:keepNext/>
      </w:pPr>
      <w:r>
        <w:t>3.13 Interview drill</w:t>
      </w:r>
    </w:p>
    <w:p>
      <w:r>
        <w:rPr>
          <w:b/>
        </w:rPr>
        <w:t>Interview: What is the difference between debug/run and publish?</w:t>
      </w:r>
      <w:r>
        <w:br/>
        <w:t>Authoring/debug validates current design changes; publishing commits the authored factory changes so triggers and the live factory use them.</w:t>
      </w:r>
    </w:p>
    <w:p>
      <w:r>
        <w:rPr>
          <w:b/>
        </w:rPr>
        <w:t>Interview: Why parameterize datasets?</w:t>
      </w:r>
      <w:r>
        <w:br/>
        <w:t>To reuse one dataset definition for dynamic paths, filenames, tables or other values supplied at runtime.</w:t>
      </w:r>
    </w:p>
    <w:p>
      <w:r>
        <w:rPr>
          <w:b/>
        </w:rPr>
        <w:t>Interview: When would you use Get Metadata + ForEach?</w:t>
      </w:r>
      <w:r>
        <w:br/>
        <w:t>When a pipeline must discover files/folders dynamically and process each item rather than rely on a fixed list.</w:t>
      </w:r>
    </w:p>
    <w:p>
      <w:r>
        <w:rPr>
          <w:b/>
        </w:rPr>
        <w:t>Interview: Schedule trigger vs Storage Event trigger?</w:t>
      </w:r>
      <w:r>
        <w:br/>
        <w:t>Schedule is time-driven; Storage Event is event-driven and starts when a matching storage event occurs.</w:t>
      </w:r>
    </w:p>
    <w:p>
      <w:r>
        <w:rPr>
          <w:b/>
        </w:rPr>
        <w:t>Interview: Why use parent/child pipelines?</w:t>
      </w:r>
      <w:r>
        <w:br/>
        <w:t>Modularity, reuse, simpler debugging, clearer ownership of steps, and easier orchestration of complex workflows.</w:t>
      </w:r>
    </w:p>
    <w:p>
      <w:pPr>
        <w:pStyle w:val="Heading3"/>
        <w:keepNext/>
      </w:pPr>
      <w:r>
        <w:t>Quick revision</w:t>
      </w:r>
    </w:p>
    <w:tbl>
      <w:tblPr>
        <w:tblStyle w:val="TableGrid"/>
        <w:tblW w:type="auto" w:w="0"/>
        <w:jc w:val="center"/>
        <w:tblLook w:firstColumn="1" w:firstRow="1" w:lastColumn="0" w:lastRow="0" w:noHBand="0" w:noVBand="1" w:val="04A0"/>
      </w:tblPr>
      <w:tblGrid>
        <w:gridCol w:w="5083"/>
        <w:gridCol w:w="5083"/>
      </w:tblGrid>
      <w:tr>
        <w:tc>
          <w:tcPr>
            <w:tcW w:type="dxa" w:w="5083"/>
            <w:shd w:fill="D6EAF8"/>
            <w:vAlign w:val="center"/>
          </w:tcPr>
          <w:p>
            <w:r>
              <w:rPr>
                <w:b/>
              </w:rPr>
              <w:t>Remember</w:t>
            </w:r>
          </w:p>
        </w:tc>
        <w:tc>
          <w:tcPr>
            <w:tcW w:type="dxa" w:w="5083"/>
            <w:shd w:fill="D6EAF8"/>
            <w:vAlign w:val="center"/>
          </w:tcPr>
          <w:p>
            <w:r>
              <w:rPr>
                <w:b/>
              </w:rPr>
              <w:t>Meaning</w:t>
            </w:r>
          </w:p>
        </w:tc>
      </w:tr>
      <w:tr>
        <w:tc>
          <w:tcPr>
            <w:tcW w:type="dxa" w:w="5083"/>
            <w:vAlign w:val="top"/>
          </w:tcPr>
          <w:p>
            <w:r>
              <w:t>Get Metadata</w:t>
            </w:r>
          </w:p>
        </w:tc>
        <w:tc>
          <w:tcPr>
            <w:tcW w:type="dxa" w:w="5083"/>
            <w:vAlign w:val="top"/>
          </w:tcPr>
          <w:p>
            <w:r>
              <w:t>Read file/folder metadata such as childItems</w:t>
            </w:r>
          </w:p>
        </w:tc>
      </w:tr>
      <w:tr>
        <w:tc>
          <w:tcPr>
            <w:tcW w:type="dxa" w:w="5083"/>
            <w:vAlign w:val="top"/>
          </w:tcPr>
          <w:p>
            <w:r>
              <w:t>ForEach</w:t>
            </w:r>
          </w:p>
        </w:tc>
        <w:tc>
          <w:tcPr>
            <w:tcW w:type="dxa" w:w="5083"/>
            <w:vAlign w:val="top"/>
          </w:tcPr>
          <w:p>
            <w:r>
              <w:t>Loop over an array</w:t>
            </w:r>
          </w:p>
        </w:tc>
      </w:tr>
      <w:tr>
        <w:tc>
          <w:tcPr>
            <w:tcW w:type="dxa" w:w="5083"/>
            <w:vAlign w:val="top"/>
          </w:tcPr>
          <w:p>
            <w:r>
              <w:t>If Condition</w:t>
            </w:r>
          </w:p>
        </w:tc>
        <w:tc>
          <w:tcPr>
            <w:tcW w:type="dxa" w:w="5083"/>
            <w:vAlign w:val="top"/>
          </w:tcPr>
          <w:p>
            <w:r>
              <w:t>Branch on a boolean expression</w:t>
            </w:r>
          </w:p>
        </w:tc>
      </w:tr>
      <w:tr>
        <w:tc>
          <w:tcPr>
            <w:tcW w:type="dxa" w:w="5083"/>
            <w:vAlign w:val="top"/>
          </w:tcPr>
          <w:p>
            <w:r>
              <w:t>Parameter</w:t>
            </w:r>
          </w:p>
        </w:tc>
        <w:tc>
          <w:tcPr>
            <w:tcW w:type="dxa" w:w="5083"/>
            <w:vAlign w:val="top"/>
          </w:tcPr>
          <w:p>
            <w:r>
              <w:t>Runtime value replacing hard-coded configuration</w:t>
            </w:r>
          </w:p>
        </w:tc>
      </w:tr>
      <w:tr>
        <w:tc>
          <w:tcPr>
            <w:tcW w:type="dxa" w:w="5083"/>
            <w:vAlign w:val="top"/>
          </w:tcPr>
          <w:p>
            <w:r>
              <w:t>Data Flow</w:t>
            </w:r>
          </w:p>
        </w:tc>
        <w:tc>
          <w:tcPr>
            <w:tcW w:type="dxa" w:w="5083"/>
            <w:vAlign w:val="top"/>
          </w:tcPr>
          <w:p>
            <w:r>
              <w:t>Visual Spark-backed transformation</w:t>
            </w:r>
          </w:p>
        </w:tc>
      </w:tr>
      <w:tr>
        <w:tc>
          <w:tcPr>
            <w:tcW w:type="dxa" w:w="5083"/>
            <w:vAlign w:val="top"/>
          </w:tcPr>
          <w:p>
            <w:r>
              <w:t>Storage Event Trigger</w:t>
            </w:r>
          </w:p>
        </w:tc>
        <w:tc>
          <w:tcPr>
            <w:tcW w:type="dxa" w:w="5083"/>
            <w:vAlign w:val="top"/>
          </w:tcPr>
          <w:p>
            <w:r>
              <w:t>Start pipeline when storage event occurs</w:t>
            </w:r>
          </w:p>
        </w:tc>
      </w:tr>
      <w:tr>
        <w:tc>
          <w:tcPr>
            <w:tcW w:type="dxa" w:w="5083"/>
            <w:vAlign w:val="top"/>
          </w:tcPr>
          <w:p>
            <w:r>
              <w:t>Execute Pipeline</w:t>
            </w:r>
          </w:p>
        </w:tc>
        <w:tc>
          <w:tcPr>
            <w:tcW w:type="dxa" w:w="5083"/>
            <w:vAlign w:val="top"/>
          </w:tcPr>
          <w:p>
            <w:r>
              <w:t>Invoke a child pipeline</w:t>
            </w:r>
          </w:p>
        </w:tc>
      </w:tr>
      <w:tr>
        <w:tc>
          <w:tcPr>
            <w:tcW w:type="dxa" w:w="5083"/>
            <w:vAlign w:val="top"/>
          </w:tcPr>
          <w:p>
            <w:r>
              <w:t>Monitor</w:t>
            </w:r>
          </w:p>
        </w:tc>
        <w:tc>
          <w:tcPr>
            <w:tcW w:type="dxa" w:w="5083"/>
            <w:vAlign w:val="top"/>
          </w:tcPr>
          <w:p>
            <w:r>
              <w:t>Inspect pipeline/activity/trigger runs</w:t>
            </w:r>
          </w:p>
        </w:tc>
      </w:tr>
    </w:tbl>
    <w:p/>
    <w:p>
      <w:pPr>
        <w:pStyle w:val="Heading1"/>
        <w:keepNext/>
      </w:pPr>
      <w:r>
        <w:t>Final Chapters 1–3 Cheat Sheet</w:t>
      </w:r>
    </w:p>
    <w:tbl>
      <w:tblPr>
        <w:tblStyle w:val="TableGrid"/>
        <w:tblW w:type="auto" w:w="0"/>
        <w:jc w:val="center"/>
        <w:tblLook w:firstColumn="1" w:firstRow="1" w:lastColumn="0" w:lastRow="0" w:noHBand="0" w:noVBand="1" w:val="04A0"/>
      </w:tblPr>
      <w:tblGrid>
        <w:gridCol w:w="5083"/>
        <w:gridCol w:w="5083"/>
      </w:tblGrid>
      <w:tr>
        <w:tc>
          <w:tcPr>
            <w:tcW w:type="dxa" w:w="5083"/>
            <w:shd w:fill="D6EAF8"/>
            <w:vAlign w:val="center"/>
          </w:tcPr>
          <w:p>
            <w:r>
              <w:rPr>
                <w:b/>
              </w:rPr>
              <w:t>Area</w:t>
            </w:r>
          </w:p>
        </w:tc>
        <w:tc>
          <w:tcPr>
            <w:tcW w:type="dxa" w:w="5083"/>
            <w:shd w:fill="D6EAF8"/>
            <w:vAlign w:val="center"/>
          </w:tcPr>
          <w:p>
            <w:r>
              <w:rPr>
                <w:b/>
              </w:rPr>
              <w:t>One-line answer</w:t>
            </w:r>
          </w:p>
        </w:tc>
      </w:tr>
      <w:tr>
        <w:tc>
          <w:tcPr>
            <w:tcW w:type="dxa" w:w="5083"/>
            <w:vAlign w:val="top"/>
          </w:tcPr>
          <w:p>
            <w:r>
              <w:t>Cloud</w:t>
            </w:r>
          </w:p>
        </w:tc>
        <w:tc>
          <w:tcPr>
            <w:tcW w:type="dxa" w:w="5083"/>
            <w:vAlign w:val="top"/>
          </w:tcPr>
          <w:p>
            <w:r>
              <w:t>On-demand computing resources delivered over a network</w:t>
            </w:r>
          </w:p>
        </w:tc>
      </w:tr>
      <w:tr>
        <w:tc>
          <w:tcPr>
            <w:tcW w:type="dxa" w:w="5083"/>
            <w:vAlign w:val="top"/>
          </w:tcPr>
          <w:p>
            <w:r>
              <w:t>IaaS</w:t>
            </w:r>
          </w:p>
        </w:tc>
        <w:tc>
          <w:tcPr>
            <w:tcW w:type="dxa" w:w="5083"/>
            <w:vAlign w:val="top"/>
          </w:tcPr>
          <w:p>
            <w:r>
              <w:t>Provider gives infrastructure; customer manages more</w:t>
            </w:r>
          </w:p>
        </w:tc>
      </w:tr>
      <w:tr>
        <w:tc>
          <w:tcPr>
            <w:tcW w:type="dxa" w:w="5083"/>
            <w:vAlign w:val="top"/>
          </w:tcPr>
          <w:p>
            <w:r>
              <w:t>PaaS</w:t>
            </w:r>
          </w:p>
        </w:tc>
        <w:tc>
          <w:tcPr>
            <w:tcW w:type="dxa" w:w="5083"/>
            <w:vAlign w:val="top"/>
          </w:tcPr>
          <w:p>
            <w:r>
              <w:t>Provider manages infrastructure/platform; customer focuses on data/app</w:t>
            </w:r>
          </w:p>
        </w:tc>
      </w:tr>
      <w:tr>
        <w:tc>
          <w:tcPr>
            <w:tcW w:type="dxa" w:w="5083"/>
            <w:vAlign w:val="top"/>
          </w:tcPr>
          <w:p>
            <w:r>
              <w:t>SaaS</w:t>
            </w:r>
          </w:p>
        </w:tc>
        <w:tc>
          <w:tcPr>
            <w:tcW w:type="dxa" w:w="5083"/>
            <w:vAlign w:val="top"/>
          </w:tcPr>
          <w:p>
            <w:r>
              <w:t>Finished software consumed as a service</w:t>
            </w:r>
          </w:p>
        </w:tc>
      </w:tr>
      <w:tr>
        <w:tc>
          <w:tcPr>
            <w:tcW w:type="dxa" w:w="5083"/>
            <w:vAlign w:val="top"/>
          </w:tcPr>
          <w:p>
            <w:r>
              <w:t>ADLS Gen2</w:t>
            </w:r>
          </w:p>
        </w:tc>
        <w:tc>
          <w:tcPr>
            <w:tcW w:type="dxa" w:w="5083"/>
            <w:vAlign w:val="top"/>
          </w:tcPr>
          <w:p>
            <w:r>
              <w:t>Azure Storage with hierarchical namespace for data-lake workloads</w:t>
            </w:r>
          </w:p>
        </w:tc>
      </w:tr>
      <w:tr>
        <w:tc>
          <w:tcPr>
            <w:tcW w:type="dxa" w:w="5083"/>
            <w:vAlign w:val="top"/>
          </w:tcPr>
          <w:p>
            <w:r>
              <w:t>Cosmos DB</w:t>
            </w:r>
          </w:p>
        </w:tc>
        <w:tc>
          <w:tcPr>
            <w:tcW w:type="dxa" w:w="5083"/>
            <w:vAlign w:val="top"/>
          </w:tcPr>
          <w:p>
            <w:r>
              <w:t>Managed NoSQL database family with multiple APIs/models</w:t>
            </w:r>
          </w:p>
        </w:tc>
      </w:tr>
      <w:tr>
        <w:tc>
          <w:tcPr>
            <w:tcW w:type="dxa" w:w="5083"/>
            <w:vAlign w:val="top"/>
          </w:tcPr>
          <w:p>
            <w:r>
              <w:t>ADF</w:t>
            </w:r>
          </w:p>
        </w:tc>
        <w:tc>
          <w:tcPr>
            <w:tcW w:type="dxa" w:w="5083"/>
            <w:vAlign w:val="top"/>
          </w:tcPr>
          <w:p>
            <w:r>
              <w:t>Data integration and orchestration service</w:t>
            </w:r>
          </w:p>
        </w:tc>
      </w:tr>
      <w:tr>
        <w:tc>
          <w:tcPr>
            <w:tcW w:type="dxa" w:w="5083"/>
            <w:vAlign w:val="top"/>
          </w:tcPr>
          <w:p>
            <w:r>
              <w:t>Linked Service</w:t>
            </w:r>
          </w:p>
        </w:tc>
        <w:tc>
          <w:tcPr>
            <w:tcW w:type="dxa" w:w="5083"/>
            <w:vAlign w:val="top"/>
          </w:tcPr>
          <w:p>
            <w:r>
              <w:t>Connection definition</w:t>
            </w:r>
          </w:p>
        </w:tc>
      </w:tr>
      <w:tr>
        <w:tc>
          <w:tcPr>
            <w:tcW w:type="dxa" w:w="5083"/>
            <w:vAlign w:val="top"/>
          </w:tcPr>
          <w:p>
            <w:r>
              <w:t>Dataset</w:t>
            </w:r>
          </w:p>
        </w:tc>
        <w:tc>
          <w:tcPr>
            <w:tcW w:type="dxa" w:w="5083"/>
            <w:vAlign w:val="top"/>
          </w:tcPr>
          <w:p>
            <w:r>
              <w:t>Specific data reference</w:t>
            </w:r>
          </w:p>
        </w:tc>
      </w:tr>
      <w:tr>
        <w:tc>
          <w:tcPr>
            <w:tcW w:type="dxa" w:w="5083"/>
            <w:vAlign w:val="top"/>
          </w:tcPr>
          <w:p>
            <w:r>
              <w:t>Pipeline</w:t>
            </w:r>
          </w:p>
        </w:tc>
        <w:tc>
          <w:tcPr>
            <w:tcW w:type="dxa" w:w="5083"/>
            <w:vAlign w:val="top"/>
          </w:tcPr>
          <w:p>
            <w:r>
              <w:t>Workflow</w:t>
            </w:r>
          </w:p>
        </w:tc>
      </w:tr>
      <w:tr>
        <w:tc>
          <w:tcPr>
            <w:tcW w:type="dxa" w:w="5083"/>
            <w:vAlign w:val="top"/>
          </w:tcPr>
          <w:p>
            <w:r>
              <w:t>Activity</w:t>
            </w:r>
          </w:p>
        </w:tc>
        <w:tc>
          <w:tcPr>
            <w:tcW w:type="dxa" w:w="5083"/>
            <w:vAlign w:val="top"/>
          </w:tcPr>
          <w:p>
            <w:r>
              <w:t>Action inside a pipeline</w:t>
            </w:r>
          </w:p>
        </w:tc>
      </w:tr>
      <w:tr>
        <w:tc>
          <w:tcPr>
            <w:tcW w:type="dxa" w:w="5083"/>
            <w:vAlign w:val="top"/>
          </w:tcPr>
          <w:p>
            <w:r>
              <w:t>Get Metadata</w:t>
            </w:r>
          </w:p>
        </w:tc>
        <w:tc>
          <w:tcPr>
            <w:tcW w:type="dxa" w:w="5083"/>
            <w:vAlign w:val="top"/>
          </w:tcPr>
          <w:p>
            <w:r>
              <w:t>Discover file/folder metadata</w:t>
            </w:r>
          </w:p>
        </w:tc>
      </w:tr>
      <w:tr>
        <w:tc>
          <w:tcPr>
            <w:tcW w:type="dxa" w:w="5083"/>
            <w:vAlign w:val="top"/>
          </w:tcPr>
          <w:p>
            <w:r>
              <w:t>ForEach</w:t>
            </w:r>
          </w:p>
        </w:tc>
        <w:tc>
          <w:tcPr>
            <w:tcW w:type="dxa" w:w="5083"/>
            <w:vAlign w:val="top"/>
          </w:tcPr>
          <w:p>
            <w:r>
              <w:t>Loop</w:t>
            </w:r>
          </w:p>
        </w:tc>
      </w:tr>
      <w:tr>
        <w:tc>
          <w:tcPr>
            <w:tcW w:type="dxa" w:w="5083"/>
            <w:vAlign w:val="top"/>
          </w:tcPr>
          <w:p>
            <w:r>
              <w:t>If Condition</w:t>
            </w:r>
          </w:p>
        </w:tc>
        <w:tc>
          <w:tcPr>
            <w:tcW w:type="dxa" w:w="5083"/>
            <w:vAlign w:val="top"/>
          </w:tcPr>
          <w:p>
            <w:r>
              <w:t>Branch</w:t>
            </w:r>
          </w:p>
        </w:tc>
      </w:tr>
      <w:tr>
        <w:tc>
          <w:tcPr>
            <w:tcW w:type="dxa" w:w="5083"/>
            <w:vAlign w:val="top"/>
          </w:tcPr>
          <w:p>
            <w:r>
              <w:t>Parameter</w:t>
            </w:r>
          </w:p>
        </w:tc>
        <w:tc>
          <w:tcPr>
            <w:tcW w:type="dxa" w:w="5083"/>
            <w:vAlign w:val="top"/>
          </w:tcPr>
          <w:p>
            <w:r>
              <w:t>Dynamic runtime input</w:t>
            </w:r>
          </w:p>
        </w:tc>
      </w:tr>
      <w:tr>
        <w:tc>
          <w:tcPr>
            <w:tcW w:type="dxa" w:w="5083"/>
            <w:vAlign w:val="top"/>
          </w:tcPr>
          <w:p>
            <w:r>
              <w:t>Data Flow</w:t>
            </w:r>
          </w:p>
        </w:tc>
        <w:tc>
          <w:tcPr>
            <w:tcW w:type="dxa" w:w="5083"/>
            <w:vAlign w:val="top"/>
          </w:tcPr>
          <w:p>
            <w:r>
              <w:t>Visual transformation</w:t>
            </w:r>
          </w:p>
        </w:tc>
      </w:tr>
      <w:tr>
        <w:tc>
          <w:tcPr>
            <w:tcW w:type="dxa" w:w="5083"/>
            <w:vAlign w:val="top"/>
          </w:tcPr>
          <w:p>
            <w:r>
              <w:t>Trigger</w:t>
            </w:r>
          </w:p>
        </w:tc>
        <w:tc>
          <w:tcPr>
            <w:tcW w:type="dxa" w:w="5083"/>
            <w:vAlign w:val="top"/>
          </w:tcPr>
          <w:p>
            <w:r>
              <w:t>Automatic pipeline starter</w:t>
            </w:r>
          </w:p>
        </w:tc>
      </w:tr>
      <w:tr>
        <w:tc>
          <w:tcPr>
            <w:tcW w:type="dxa" w:w="5083"/>
            <w:vAlign w:val="top"/>
          </w:tcPr>
          <w:p>
            <w:r>
              <w:t>Execute Pipeline</w:t>
            </w:r>
          </w:p>
        </w:tc>
        <w:tc>
          <w:tcPr>
            <w:tcW w:type="dxa" w:w="5083"/>
            <w:vAlign w:val="top"/>
          </w:tcPr>
          <w:p>
            <w:r>
              <w:t>Parent/child orchestration</w:t>
            </w:r>
          </w:p>
        </w:tc>
      </w:tr>
    </w:tbl>
    <w:p/>
    <w:p>
      <w:pPr>
        <w:pStyle w:val="Heading2"/>
        <w:keepNext/>
      </w:pPr>
      <w:r>
        <w:t>Practice checklist</w:t>
      </w:r>
    </w:p>
    <w:p>
      <w:pPr>
        <w:pStyle w:val="ListBullet"/>
      </w:pPr>
      <w:r>
        <w:t>Create a resource group and explain why it exists.</w:t>
      </w:r>
    </w:p>
    <w:p>
      <w:pPr>
        <w:pStyle w:val="ListBullet"/>
      </w:pPr>
      <w:r>
        <w:t>Create a Storage Account and explain hierarchical namespace.</w:t>
      </w:r>
    </w:p>
    <w:p>
      <w:pPr>
        <w:pStyle w:val="ListBullet"/>
      </w:pPr>
      <w:r>
        <w:t>Create an ADLS container/folder hierarchy for raw and curated data.</w:t>
      </w:r>
    </w:p>
    <w:p>
      <w:pPr>
        <w:pStyle w:val="ListBullet"/>
      </w:pPr>
      <w:r>
        <w:t>Create ADF and connect it to ADLS.</w:t>
      </w:r>
    </w:p>
    <w:p>
      <w:pPr>
        <w:pStyle w:val="ListBullet"/>
      </w:pPr>
      <w:r>
        <w:t>Build a Copy Activity pipeline from source to sink.</w:t>
      </w:r>
    </w:p>
    <w:p>
      <w:pPr>
        <w:pStyle w:val="ListBullet"/>
      </w:pPr>
      <w:r>
        <w:t>Build Get Metadata → ForEach → If Condition → parameterized Copy Activity.</w:t>
      </w:r>
    </w:p>
    <w:p>
      <w:pPr>
        <w:pStyle w:val="ListBullet"/>
      </w:pPr>
      <w:r>
        <w:t>Create a Storage Event trigger and verify it in Monitor.</w:t>
      </w:r>
    </w:p>
    <w:p>
      <w:pPr>
        <w:pStyle w:val="ListBullet"/>
      </w:pPr>
      <w:r>
        <w:t>Create a parent pipeline that executes child pipelines.</w:t>
      </w:r>
    </w:p>
    <w:p>
      <w:pPr>
        <w:pStyle w:val="ListBullet"/>
      </w:pPr>
      <w:r>
        <w:t>Rebuild the full flow from memory, then explain every object aloud as if answering an interview.</w:t>
      </w:r>
    </w:p>
    <w:tbl>
      <w:tblPr>
        <w:tblStyle w:val="TableGrid"/>
        <w:tblW w:type="auto" w:w="0"/>
        <w:tblLook w:firstColumn="1" w:firstRow="1" w:lastColumn="0" w:lastRow="0" w:noHBand="0" w:noVBand="1" w:val="04A0"/>
      </w:tblPr>
      <w:tblGrid>
        <w:gridCol w:w="10166"/>
      </w:tblGrid>
      <w:tr>
        <w:tc>
          <w:tcPr>
            <w:tcW w:type="dxa" w:w="10166"/>
            <w:shd w:fill="FFF2CC"/>
          </w:tcPr>
          <w:p>
            <w:r>
              <w:rPr>
                <w:b/>
              </w:rPr>
              <w:t xml:space="preserve">Study rule — </w:t>
            </w:r>
            <w:r>
              <w:t>If you can rebuild a pipeline but cannot explain Linked Service vs Dataset, source vs sink, metadata vs data, or schedule vs event trigger, you are memorizing clicks rather than learning the engineering concept.</w:t>
            </w:r>
          </w:p>
        </w:tc>
      </w:tr>
    </w:tbl>
    <w:p/>
    <w:sectPr w:rsidR="00FC693F" w:rsidRPr="0006063C" w:rsidSect="00034616">
      <w:headerReference w:type="default" r:id="rId17"/>
      <w:footerReference w:type="default" r:id="rId18"/>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Course-based study guide • Simple explanations + practical DE context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Azure Data Engineering • Detailed Learning Notes • Chapters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71A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E405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val="0"/>
      <w:color w:val="1B4F72"/>
      <w:sz w:val="20"/>
    </w:rPr>
  </w:style>
  <w:style w:type="paragraph" w:customStyle="1" w:styleId="Code">
    <w:name w:val="Code"/>
    <w:rPr>
      <w:rFonts w:ascii="Consolas" w:hAnsi="Consolas"/>
      <w:b w:val="0"/>
      <w:color w:val="17202A"/>
      <w:sz w:val="18"/>
    </w:rPr>
  </w:style>
  <w:style w:type="paragraph" w:customStyle="1" w:styleId="Small">
    <w:name w:val="Small"/>
    <w:rPr>
      <w:rFonts w:ascii="Aptos" w:hAnsi="Aptos"/>
      <w:b w:val="0"/>
      <w:color w:val="56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