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C3799" w14:textId="77777777" w:rsidR="00BB72D8" w:rsidRDefault="00BB72D8" w:rsidP="00BB72D8">
      <w:pPr>
        <w:rPr>
          <w:b/>
          <w:bCs/>
          <w:caps/>
          <w:color w:val="006600"/>
          <w:sz w:val="40"/>
          <w:szCs w:val="40"/>
        </w:rPr>
      </w:pPr>
      <w:r w:rsidRPr="45B039C8">
        <w:rPr>
          <w:b/>
          <w:bCs/>
          <w:caps/>
          <w:color w:val="006600"/>
          <w:sz w:val="40"/>
          <w:szCs w:val="40"/>
        </w:rPr>
        <w:t>Assessment Brief</w:t>
      </w:r>
    </w:p>
    <w:p w14:paraId="49ADB3BC" w14:textId="77777777" w:rsidR="00BB72D8" w:rsidRPr="004B05AE" w:rsidRDefault="00BB72D8" w:rsidP="00BB72D8">
      <w:pPr>
        <w:rPr>
          <w:rFonts w:cs="Arial"/>
          <w:b/>
          <w:color w:val="006600"/>
          <w:sz w:val="26"/>
          <w:szCs w:val="26"/>
        </w:rPr>
      </w:pPr>
    </w:p>
    <w:tbl>
      <w:tblPr>
        <w:tblStyle w:val="TableGrid"/>
        <w:tblW w:w="9962" w:type="dxa"/>
        <w:tblLook w:val="04A0" w:firstRow="1" w:lastRow="0" w:firstColumn="1" w:lastColumn="0" w:noHBand="0" w:noVBand="1"/>
      </w:tblPr>
      <w:tblGrid>
        <w:gridCol w:w="3397"/>
        <w:gridCol w:w="6565"/>
      </w:tblGrid>
      <w:tr w:rsidR="00BB72D8" w:rsidRPr="008D291E" w14:paraId="4F0CFFF7" w14:textId="77777777" w:rsidTr="00070794">
        <w:tc>
          <w:tcPr>
            <w:tcW w:w="3397" w:type="dxa"/>
            <w:shd w:val="clear" w:color="auto" w:fill="EDEDED" w:themeFill="accent3" w:themeFillTint="33"/>
          </w:tcPr>
          <w:p w14:paraId="27D51442" w14:textId="77777777" w:rsidR="00BB72D8" w:rsidRPr="008D291E" w:rsidRDefault="00BB72D8" w:rsidP="00070794">
            <w:pPr>
              <w:spacing w:before="120" w:after="120"/>
              <w:rPr>
                <w:rFonts w:cs="Arial"/>
                <w:b/>
                <w:szCs w:val="22"/>
              </w:rPr>
            </w:pPr>
            <w:r w:rsidRPr="008D291E">
              <w:rPr>
                <w:rFonts w:cs="Arial"/>
                <w:b/>
                <w:szCs w:val="22"/>
              </w:rPr>
              <w:t>Academic year and term:</w:t>
            </w:r>
          </w:p>
        </w:tc>
        <w:tc>
          <w:tcPr>
            <w:tcW w:w="6565" w:type="dxa"/>
          </w:tcPr>
          <w:p w14:paraId="3476DD1A" w14:textId="77777777" w:rsidR="00BB72D8" w:rsidRPr="004B05AE" w:rsidRDefault="00BB72D8" w:rsidP="00070794">
            <w:pPr>
              <w:spacing w:before="120" w:after="120"/>
              <w:rPr>
                <w:rFonts w:cs="Arial"/>
                <w:szCs w:val="22"/>
              </w:rPr>
            </w:pPr>
            <w:r w:rsidRPr="00B57467">
              <w:rPr>
                <w:szCs w:val="24"/>
              </w:rPr>
              <w:t>20</w:t>
            </w:r>
            <w:r>
              <w:rPr>
                <w:szCs w:val="24"/>
              </w:rPr>
              <w:t>22/23</w:t>
            </w:r>
          </w:p>
        </w:tc>
      </w:tr>
      <w:tr w:rsidR="00BB72D8" w:rsidRPr="008D291E" w14:paraId="61FBA684" w14:textId="77777777" w:rsidTr="00070794">
        <w:tc>
          <w:tcPr>
            <w:tcW w:w="3397" w:type="dxa"/>
            <w:shd w:val="clear" w:color="auto" w:fill="EDEDED" w:themeFill="accent3" w:themeFillTint="33"/>
          </w:tcPr>
          <w:p w14:paraId="40C4988C" w14:textId="77777777" w:rsidR="00BB72D8" w:rsidRPr="008D291E" w:rsidRDefault="00BB72D8" w:rsidP="00070794">
            <w:pPr>
              <w:spacing w:before="120" w:after="120"/>
              <w:rPr>
                <w:rFonts w:cs="Arial"/>
                <w:b/>
                <w:szCs w:val="22"/>
              </w:rPr>
            </w:pPr>
            <w:r w:rsidRPr="008D291E">
              <w:rPr>
                <w:rFonts w:cs="Arial"/>
                <w:b/>
                <w:szCs w:val="22"/>
              </w:rPr>
              <w:t>Module title:</w:t>
            </w:r>
          </w:p>
        </w:tc>
        <w:tc>
          <w:tcPr>
            <w:tcW w:w="6565" w:type="dxa"/>
          </w:tcPr>
          <w:p w14:paraId="511D0953" w14:textId="77777777" w:rsidR="00BB72D8" w:rsidRPr="008D291E" w:rsidRDefault="00BB72D8" w:rsidP="00070794">
            <w:pPr>
              <w:spacing w:before="120" w:after="120"/>
              <w:rPr>
                <w:rFonts w:cs="Arial"/>
                <w:b/>
                <w:szCs w:val="22"/>
              </w:rPr>
            </w:pPr>
            <w:r w:rsidRPr="00A06E0C">
              <w:rPr>
                <w:rFonts w:eastAsia="Arial" w:cs="Arial"/>
                <w:bCs/>
                <w:spacing w:val="-1"/>
                <w:szCs w:val="24"/>
                <w:lang w:val="en-US"/>
              </w:rPr>
              <w:t>Strategic Investment Appraisal</w:t>
            </w:r>
          </w:p>
        </w:tc>
      </w:tr>
      <w:tr w:rsidR="00BB72D8" w:rsidRPr="008D291E" w14:paraId="16C1D63C" w14:textId="77777777" w:rsidTr="00070794">
        <w:trPr>
          <w:trHeight w:val="419"/>
        </w:trPr>
        <w:tc>
          <w:tcPr>
            <w:tcW w:w="3397" w:type="dxa"/>
            <w:shd w:val="clear" w:color="auto" w:fill="EDEDED" w:themeFill="accent3" w:themeFillTint="33"/>
          </w:tcPr>
          <w:p w14:paraId="0E300F57" w14:textId="77777777" w:rsidR="00BB72D8" w:rsidRPr="008D291E" w:rsidRDefault="00BB72D8" w:rsidP="00070794">
            <w:pPr>
              <w:spacing w:before="120" w:after="120"/>
              <w:rPr>
                <w:rFonts w:cs="Arial"/>
                <w:b/>
                <w:szCs w:val="22"/>
              </w:rPr>
            </w:pPr>
            <w:r>
              <w:rPr>
                <w:rFonts w:cs="Arial"/>
                <w:b/>
                <w:szCs w:val="22"/>
              </w:rPr>
              <w:t>Type of assessment:</w:t>
            </w:r>
          </w:p>
        </w:tc>
        <w:tc>
          <w:tcPr>
            <w:tcW w:w="6565" w:type="dxa"/>
          </w:tcPr>
          <w:p w14:paraId="64C939F8" w14:textId="77777777" w:rsidR="00BB72D8" w:rsidRPr="007E31A3" w:rsidRDefault="00BB72D8" w:rsidP="00070794">
            <w:pPr>
              <w:spacing w:before="120" w:after="120"/>
            </w:pPr>
            <w:r>
              <w:t>Project appraisal report</w:t>
            </w:r>
          </w:p>
        </w:tc>
      </w:tr>
      <w:tr w:rsidR="00BB72D8" w:rsidRPr="008D291E" w14:paraId="4FDCC3FA" w14:textId="77777777" w:rsidTr="00070794">
        <w:trPr>
          <w:trHeight w:val="512"/>
        </w:trPr>
        <w:tc>
          <w:tcPr>
            <w:tcW w:w="3397" w:type="dxa"/>
            <w:shd w:val="clear" w:color="auto" w:fill="EDEDED" w:themeFill="accent3" w:themeFillTint="33"/>
          </w:tcPr>
          <w:p w14:paraId="254467EE" w14:textId="77777777" w:rsidR="00BB72D8" w:rsidRPr="008D291E" w:rsidRDefault="00BB72D8" w:rsidP="00070794">
            <w:pPr>
              <w:spacing w:before="120" w:after="120"/>
              <w:rPr>
                <w:rFonts w:cs="Arial"/>
                <w:b/>
                <w:szCs w:val="22"/>
              </w:rPr>
            </w:pPr>
            <w:r w:rsidRPr="008D291E">
              <w:rPr>
                <w:rFonts w:cs="Arial"/>
                <w:b/>
                <w:szCs w:val="22"/>
              </w:rPr>
              <w:t>Assessment deadline:</w:t>
            </w:r>
          </w:p>
        </w:tc>
        <w:tc>
          <w:tcPr>
            <w:tcW w:w="6565" w:type="dxa"/>
          </w:tcPr>
          <w:tbl>
            <w:tblPr>
              <w:tblW w:w="0" w:type="auto"/>
              <w:tblBorders>
                <w:top w:val="nil"/>
                <w:left w:val="nil"/>
                <w:bottom w:val="nil"/>
                <w:right w:val="nil"/>
              </w:tblBorders>
              <w:tblLook w:val="0000" w:firstRow="0" w:lastRow="0" w:firstColumn="0" w:lastColumn="0" w:noHBand="0" w:noVBand="0"/>
            </w:tblPr>
            <w:tblGrid>
              <w:gridCol w:w="5401"/>
            </w:tblGrid>
            <w:tr w:rsidR="00BB72D8" w:rsidRPr="003011F7" w14:paraId="42ED6419" w14:textId="77777777" w:rsidTr="00070794">
              <w:trPr>
                <w:trHeight w:val="238"/>
              </w:trPr>
              <w:tc>
                <w:tcPr>
                  <w:tcW w:w="5401" w:type="dxa"/>
                </w:tcPr>
                <w:p w14:paraId="4C53EEC6" w14:textId="77777777" w:rsidR="00BB72D8" w:rsidRDefault="00BB72D8" w:rsidP="00070794">
                  <w:pPr>
                    <w:autoSpaceDE w:val="0"/>
                    <w:autoSpaceDN w:val="0"/>
                    <w:adjustRightInd w:val="0"/>
                    <w:rPr>
                      <w:rFonts w:eastAsiaTheme="minorEastAsia" w:cs="Arial"/>
                      <w:color w:val="000000"/>
                      <w:sz w:val="23"/>
                      <w:szCs w:val="23"/>
                      <w:lang w:val="en-AE"/>
                    </w:rPr>
                  </w:pPr>
                  <w:r w:rsidRPr="003011F7">
                    <w:rPr>
                      <w:rFonts w:eastAsiaTheme="minorEastAsia" w:cs="Arial"/>
                      <w:color w:val="000000"/>
                      <w:sz w:val="23"/>
                      <w:szCs w:val="23"/>
                      <w:lang w:val="en-AE"/>
                    </w:rPr>
                    <w:t xml:space="preserve">Formative (task 1) </w:t>
                  </w:r>
                  <w:r>
                    <w:rPr>
                      <w:rFonts w:eastAsiaTheme="minorEastAsia" w:cs="Arial"/>
                      <w:color w:val="000000"/>
                      <w:sz w:val="23"/>
                      <w:szCs w:val="23"/>
                      <w:lang w:val="en-AE"/>
                    </w:rPr>
                    <w:t>01</w:t>
                  </w:r>
                  <w:r w:rsidRPr="003011F7">
                    <w:rPr>
                      <w:rFonts w:eastAsiaTheme="minorEastAsia" w:cs="Arial"/>
                      <w:color w:val="000000"/>
                      <w:sz w:val="23"/>
                      <w:szCs w:val="23"/>
                      <w:lang w:val="en-AE"/>
                    </w:rPr>
                    <w:t>/</w:t>
                  </w:r>
                  <w:r>
                    <w:rPr>
                      <w:rFonts w:eastAsiaTheme="minorEastAsia" w:cs="Arial"/>
                      <w:color w:val="000000"/>
                      <w:sz w:val="23"/>
                      <w:szCs w:val="23"/>
                      <w:lang w:val="en-AE"/>
                    </w:rPr>
                    <w:t>06</w:t>
                  </w:r>
                  <w:r w:rsidRPr="003011F7">
                    <w:rPr>
                      <w:rFonts w:eastAsiaTheme="minorEastAsia" w:cs="Arial"/>
                      <w:color w:val="000000"/>
                      <w:sz w:val="23"/>
                      <w:szCs w:val="23"/>
                      <w:lang w:val="en-AE"/>
                    </w:rPr>
                    <w:t>/2</w:t>
                  </w:r>
                  <w:r>
                    <w:rPr>
                      <w:rFonts w:eastAsiaTheme="minorEastAsia" w:cs="Arial"/>
                      <w:color w:val="000000"/>
                      <w:sz w:val="23"/>
                      <w:szCs w:val="23"/>
                      <w:lang w:val="en-AE"/>
                    </w:rPr>
                    <w:t>023</w:t>
                  </w:r>
                </w:p>
                <w:p w14:paraId="4AFC0F8D" w14:textId="77777777" w:rsidR="00BB72D8" w:rsidRPr="003011F7" w:rsidRDefault="00BB72D8" w:rsidP="00070794">
                  <w:pPr>
                    <w:autoSpaceDE w:val="0"/>
                    <w:autoSpaceDN w:val="0"/>
                    <w:adjustRightInd w:val="0"/>
                    <w:rPr>
                      <w:rFonts w:eastAsiaTheme="minorEastAsia" w:cs="Arial"/>
                      <w:color w:val="000000"/>
                      <w:sz w:val="23"/>
                      <w:szCs w:val="23"/>
                      <w:lang w:val="en-AE"/>
                    </w:rPr>
                  </w:pPr>
                  <w:r w:rsidRPr="003011F7">
                    <w:rPr>
                      <w:rFonts w:eastAsiaTheme="minorEastAsia" w:cs="Arial"/>
                      <w:color w:val="000000"/>
                      <w:sz w:val="23"/>
                      <w:szCs w:val="23"/>
                      <w:lang w:val="en-AE"/>
                    </w:rPr>
                    <w:t xml:space="preserve">Summative </w:t>
                  </w:r>
                  <w:r>
                    <w:rPr>
                      <w:rFonts w:eastAsiaTheme="minorEastAsia" w:cs="Arial"/>
                      <w:color w:val="000000"/>
                      <w:sz w:val="23"/>
                      <w:szCs w:val="23"/>
                      <w:lang w:val="en-AE"/>
                    </w:rPr>
                    <w:t>(project parasail report) 07/07/2023</w:t>
                  </w:r>
                </w:p>
              </w:tc>
            </w:tr>
          </w:tbl>
          <w:p w14:paraId="2825DEB0" w14:textId="77777777" w:rsidR="00BB72D8" w:rsidRPr="004B05AE" w:rsidRDefault="00BB72D8" w:rsidP="00070794">
            <w:pPr>
              <w:spacing w:before="120" w:after="120"/>
              <w:rPr>
                <w:rFonts w:cs="Arial"/>
                <w:szCs w:val="22"/>
              </w:rPr>
            </w:pPr>
          </w:p>
        </w:tc>
      </w:tr>
    </w:tbl>
    <w:p w14:paraId="635736F1" w14:textId="77777777" w:rsidR="00BB72D8" w:rsidRDefault="00BB72D8" w:rsidP="00BB72D8">
      <w:pPr>
        <w:rPr>
          <w:rFonts w:cs="Arial"/>
          <w:b/>
          <w:color w:val="006600"/>
          <w:sz w:val="26"/>
          <w:szCs w:val="26"/>
        </w:rPr>
      </w:pPr>
    </w:p>
    <w:p w14:paraId="23E3B5B0" w14:textId="77777777" w:rsidR="00BB72D8" w:rsidRDefault="00BB72D8" w:rsidP="00BB72D8">
      <w:pPr>
        <w:rPr>
          <w:rFonts w:cs="Arial"/>
          <w:b/>
          <w:color w:val="006600"/>
          <w:sz w:val="26"/>
          <w:szCs w:val="26"/>
        </w:rPr>
      </w:pPr>
      <w:r>
        <w:rPr>
          <w:rFonts w:cs="Arial"/>
          <w:b/>
          <w:color w:val="006600"/>
          <w:sz w:val="26"/>
          <w:szCs w:val="26"/>
        </w:rPr>
        <w:t>Instructions for assessment</w:t>
      </w:r>
    </w:p>
    <w:p w14:paraId="71BDD742" w14:textId="77777777" w:rsidR="00BB72D8" w:rsidRDefault="00BB72D8" w:rsidP="00BB72D8">
      <w:pPr>
        <w:jc w:val="both"/>
        <w:rPr>
          <w:rFonts w:eastAsia="Arial" w:cs="Arial"/>
          <w:bCs/>
          <w:spacing w:val="-1"/>
          <w:szCs w:val="24"/>
          <w:lang w:val="en-US"/>
        </w:rPr>
      </w:pPr>
      <w:r>
        <w:rPr>
          <w:rFonts w:eastAsia="Arial" w:cs="Arial"/>
          <w:bCs/>
          <w:spacing w:val="-1"/>
          <w:szCs w:val="24"/>
          <w:lang w:val="en-US"/>
        </w:rPr>
        <w:t>The assessment</w:t>
      </w:r>
      <w:r w:rsidRPr="00A06E0C">
        <w:rPr>
          <w:rFonts w:eastAsia="Arial" w:cs="Arial"/>
          <w:bCs/>
          <w:spacing w:val="-1"/>
          <w:szCs w:val="24"/>
          <w:lang w:val="en-US"/>
        </w:rPr>
        <w:t xml:space="preserve"> is a</w:t>
      </w:r>
      <w:r>
        <w:rPr>
          <w:rFonts w:eastAsia="Arial" w:cs="Arial"/>
          <w:bCs/>
          <w:spacing w:val="-1"/>
          <w:szCs w:val="24"/>
          <w:lang w:val="en-US"/>
        </w:rPr>
        <w:t>n individual</w:t>
      </w:r>
      <w:r w:rsidRPr="00A06E0C">
        <w:rPr>
          <w:rFonts w:eastAsia="Arial" w:cs="Arial"/>
          <w:bCs/>
          <w:spacing w:val="-1"/>
          <w:szCs w:val="24"/>
          <w:lang w:val="en-US"/>
        </w:rPr>
        <w:t xml:space="preserve"> </w:t>
      </w:r>
      <w:r w:rsidRPr="005102F8">
        <w:rPr>
          <w:rFonts w:eastAsia="Arial" w:cs="Arial"/>
          <w:b/>
          <w:spacing w:val="-1"/>
          <w:szCs w:val="24"/>
          <w:lang w:val="en-US"/>
        </w:rPr>
        <w:t>project appraisal report</w:t>
      </w:r>
      <w:r>
        <w:rPr>
          <w:rFonts w:eastAsia="Arial" w:cs="Arial"/>
          <w:bCs/>
          <w:spacing w:val="-1"/>
          <w:szCs w:val="24"/>
          <w:lang w:val="en-US"/>
        </w:rPr>
        <w:t xml:space="preserve">. The project is a business takeover or merger to be </w:t>
      </w:r>
      <w:r w:rsidRPr="00A06E0C">
        <w:rPr>
          <w:rFonts w:eastAsia="Arial" w:cs="Arial"/>
          <w:bCs/>
          <w:spacing w:val="-1"/>
          <w:szCs w:val="24"/>
          <w:lang w:val="en-US"/>
        </w:rPr>
        <w:t>investigate</w:t>
      </w:r>
      <w:r>
        <w:rPr>
          <w:rFonts w:eastAsia="Arial" w:cs="Arial"/>
          <w:bCs/>
          <w:spacing w:val="-1"/>
          <w:szCs w:val="24"/>
          <w:lang w:val="en-US"/>
        </w:rPr>
        <w:t xml:space="preserve">d in detail. The report should be </w:t>
      </w:r>
      <w:r w:rsidRPr="00707CBA">
        <w:rPr>
          <w:rFonts w:eastAsia="Arial" w:cs="Arial"/>
          <w:b/>
          <w:bCs/>
          <w:spacing w:val="-1"/>
          <w:szCs w:val="24"/>
          <w:lang w:val="en-US"/>
        </w:rPr>
        <w:t xml:space="preserve">3,000 words plus </w:t>
      </w:r>
      <w:r>
        <w:rPr>
          <w:rFonts w:eastAsia="Arial" w:cs="Arial"/>
          <w:b/>
          <w:bCs/>
          <w:spacing w:val="-1"/>
          <w:szCs w:val="24"/>
          <w:lang w:val="en-US"/>
        </w:rPr>
        <w:t xml:space="preserve">appendices containing slides, spreadsheet </w:t>
      </w:r>
      <w:r w:rsidRPr="00707CBA">
        <w:rPr>
          <w:rFonts w:eastAsia="Arial" w:cs="Arial"/>
          <w:b/>
          <w:bCs/>
          <w:spacing w:val="-1"/>
          <w:szCs w:val="24"/>
          <w:lang w:val="en-US"/>
        </w:rPr>
        <w:t>analysis</w:t>
      </w:r>
      <w:r>
        <w:rPr>
          <w:rFonts w:eastAsia="Arial" w:cs="Arial"/>
          <w:b/>
          <w:bCs/>
          <w:spacing w:val="-1"/>
          <w:szCs w:val="24"/>
          <w:lang w:val="en-US"/>
        </w:rPr>
        <w:t xml:space="preserve"> and learning logs</w:t>
      </w:r>
      <w:r>
        <w:rPr>
          <w:rFonts w:eastAsia="Arial" w:cs="Arial"/>
          <w:bCs/>
          <w:spacing w:val="-1"/>
          <w:szCs w:val="24"/>
          <w:lang w:val="en-US"/>
        </w:rPr>
        <w:t>.</w:t>
      </w:r>
    </w:p>
    <w:p w14:paraId="1AF7F345" w14:textId="77777777" w:rsidR="00BB72D8" w:rsidRDefault="00BB72D8" w:rsidP="00BB72D8">
      <w:pPr>
        <w:jc w:val="both"/>
        <w:rPr>
          <w:rFonts w:eastAsia="Arial" w:cs="Arial"/>
          <w:bCs/>
          <w:spacing w:val="-1"/>
          <w:szCs w:val="24"/>
          <w:lang w:val="en-US"/>
        </w:rPr>
      </w:pPr>
    </w:p>
    <w:p w14:paraId="353C4DF2" w14:textId="77777777" w:rsidR="00BB72D8" w:rsidRDefault="00BB72D8" w:rsidP="00BB72D8">
      <w:pPr>
        <w:jc w:val="both"/>
        <w:rPr>
          <w:rFonts w:eastAsia="Arial" w:cs="Arial"/>
          <w:bCs/>
          <w:spacing w:val="-1"/>
          <w:szCs w:val="24"/>
          <w:lang w:val="en-US"/>
        </w:rPr>
      </w:pPr>
      <w:r w:rsidRPr="00CF4561">
        <w:rPr>
          <w:rFonts w:eastAsia="Arial" w:cs="Arial"/>
          <w:bCs/>
          <w:noProof/>
          <w:spacing w:val="-1"/>
          <w:szCs w:val="24"/>
          <w:lang w:eastAsia="en-GB"/>
        </w:rPr>
        <mc:AlternateContent>
          <mc:Choice Requires="wps">
            <w:drawing>
              <wp:anchor distT="45720" distB="45720" distL="114300" distR="114300" simplePos="0" relativeHeight="251659264" behindDoc="0" locked="0" layoutInCell="1" allowOverlap="1" wp14:anchorId="1B516196" wp14:editId="1C196C78">
                <wp:simplePos x="0" y="0"/>
                <wp:positionH relativeFrom="column">
                  <wp:posOffset>27940</wp:posOffset>
                </wp:positionH>
                <wp:positionV relativeFrom="paragraph">
                  <wp:posOffset>236855</wp:posOffset>
                </wp:positionV>
                <wp:extent cx="6381750" cy="17145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1714500"/>
                        </a:xfrm>
                        <a:prstGeom prst="rect">
                          <a:avLst/>
                        </a:prstGeom>
                        <a:solidFill>
                          <a:srgbClr val="FFFFFF"/>
                        </a:solidFill>
                        <a:ln w="9525">
                          <a:solidFill>
                            <a:srgbClr val="000000"/>
                          </a:solidFill>
                          <a:miter lim="800000"/>
                          <a:headEnd/>
                          <a:tailEnd/>
                        </a:ln>
                      </wps:spPr>
                      <wps:txbx>
                        <w:txbxContent>
                          <w:p w14:paraId="57B6893E" w14:textId="77777777" w:rsidR="00BB72D8" w:rsidRPr="003011F7" w:rsidRDefault="00BB72D8" w:rsidP="00BB72D8">
                            <w:pPr>
                              <w:pStyle w:val="xmsonormal"/>
                              <w:rPr>
                                <w:rFonts w:asciiTheme="minorBidi" w:eastAsiaTheme="minorEastAsia" w:hAnsiTheme="minorBidi" w:cstheme="minorBidi"/>
                                <w:color w:val="000000"/>
                                <w:lang w:val="en-AE" w:eastAsia="en-US"/>
                              </w:rPr>
                            </w:pPr>
                            <w:r w:rsidRPr="003011F7">
                              <w:rPr>
                                <w:rFonts w:asciiTheme="minorBidi" w:eastAsiaTheme="minorEastAsia" w:hAnsiTheme="minorBidi" w:cstheme="minorBidi"/>
                                <w:color w:val="000000"/>
                                <w:lang w:val="en-AE" w:eastAsia="en-US"/>
                              </w:rPr>
                              <w:t>The case study is a takeover bid by Caesars of William Hill for £2.9 billion – You may make use of newspaper sources (</w:t>
                            </w:r>
                            <w:hyperlink r:id="rId7" w:history="1">
                              <w:r w:rsidRPr="003011F7">
                                <w:rPr>
                                  <w:rStyle w:val="Hyperlink"/>
                                  <w:rFonts w:asciiTheme="minorBidi" w:hAnsiTheme="minorBidi" w:cstheme="minorBidi"/>
                                </w:rPr>
                                <w:t>Caesars agrees £2.9bn William Hill takeover - but will sell off UK betting shops | Business News | Sky News</w:t>
                              </w:r>
                            </w:hyperlink>
                            <w:r w:rsidRPr="003011F7">
                              <w:rPr>
                                <w:rFonts w:asciiTheme="minorBidi" w:hAnsiTheme="minorBidi" w:cstheme="minorBidi"/>
                              </w:rPr>
                              <w:t>)</w:t>
                            </w:r>
                            <w:r w:rsidRPr="003011F7">
                              <w:rPr>
                                <w:rFonts w:asciiTheme="minorBidi" w:eastAsiaTheme="minorEastAsia" w:hAnsiTheme="minorBidi" w:cstheme="minorBidi"/>
                                <w:color w:val="000000"/>
                                <w:lang w:val="en-AE" w:eastAsia="en-US"/>
                              </w:rPr>
                              <w:t>, company websites, bid document and stock market data, but the annual reports for 2019 &amp; 2020 should be the main source of financial data (</w:t>
                            </w:r>
                            <w:hyperlink r:id="rId8" w:history="1">
                              <w:r w:rsidRPr="003011F7">
                                <w:rPr>
                                  <w:rStyle w:val="Hyperlink"/>
                                  <w:rFonts w:asciiTheme="minorBidi" w:eastAsiaTheme="minorEastAsia" w:hAnsiTheme="minorBidi" w:cstheme="minorBidi"/>
                                  <w:lang w:val="en-AE" w:eastAsia="en-US"/>
                                </w:rPr>
                                <w:t>https://www.williamhillplc.com/historical-investor-centre/results-reports-and-presentations/2021/</w:t>
                              </w:r>
                            </w:hyperlink>
                            <w:r w:rsidRPr="003011F7">
                              <w:rPr>
                                <w:rFonts w:asciiTheme="minorBidi" w:eastAsiaTheme="minorEastAsia" w:hAnsiTheme="minorBidi" w:cstheme="minorBidi"/>
                                <w:color w:val="000000"/>
                                <w:lang w:val="en-AE" w:eastAsia="en-US"/>
                              </w:rPr>
                              <w:t xml:space="preserve">). </w:t>
                            </w:r>
                            <w:r w:rsidRPr="003011F7">
                              <w:rPr>
                                <w:rFonts w:asciiTheme="minorBidi" w:hAnsiTheme="minorBidi" w:cstheme="minorBidi"/>
                              </w:rPr>
                              <w:t xml:space="preserve">There are three team roles for the interim assessment: Chief executive (CEO); Chief finance officer (CFO); &amp; Chief Risk officer (CRO) </w:t>
                            </w:r>
                            <w:r w:rsidRPr="003011F7">
                              <w:rPr>
                                <w:rFonts w:asciiTheme="minorBidi" w:hAnsiTheme="minorBidi" w:cstheme="minorBidi"/>
                                <w:b/>
                                <w:bCs/>
                              </w:rPr>
                              <w:t>For the MBA, you may choose the CEO or CRO role and for the MSc GFM you may choose the CFO or CRO role</w:t>
                            </w:r>
                            <w:r w:rsidRPr="003011F7">
                              <w:rPr>
                                <w:rFonts w:asciiTheme="minorBidi" w:hAnsiTheme="minorBidi" w:cstheme="minorBid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516196" id="_x0000_t202" coordsize="21600,21600" o:spt="202" path="m,l,21600r21600,l21600,xe">
                <v:stroke joinstyle="miter"/>
                <v:path gradientshapeok="t" o:connecttype="rect"/>
              </v:shapetype>
              <v:shape id="Text Box 2" o:spid="_x0000_s1026" type="#_x0000_t202" style="position:absolute;left:0;text-align:left;margin-left:2.2pt;margin-top:18.65pt;width:502.5pt;height:1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">
                <v:textbox>
                  <w:txbxContent>
                    <w:p w14:paraId="57B6893E" w14:textId="77777777" w:rsidR="00BB72D8" w:rsidRPr="003011F7" w:rsidRDefault="00BB72D8" w:rsidP="00BB72D8">
                      <w:pPr>
                        <w:pStyle w:val="xmsonormal"/>
                        <w:rPr>
                          <w:rFonts w:asciiTheme="minorBidi" w:eastAsiaTheme="minorEastAsia" w:hAnsiTheme="minorBidi" w:cstheme="minorBidi"/>
                          <w:color w:val="000000"/>
                          <w:lang w:val="en-AE" w:eastAsia="en-US"/>
                        </w:rPr>
                      </w:pPr>
                      <w:r w:rsidRPr="003011F7">
                        <w:rPr>
                          <w:rFonts w:asciiTheme="minorBidi" w:eastAsiaTheme="minorEastAsia" w:hAnsiTheme="minorBidi" w:cstheme="minorBidi"/>
                          <w:color w:val="000000"/>
                          <w:lang w:val="en-AE" w:eastAsia="en-US"/>
                        </w:rPr>
                        <w:t>The case study is a takeover bid by Caesars of William Hill for £2.9 billion – You may make use of newspaper sources (</w:t>
                      </w:r>
                      <w:hyperlink r:id="rId9" w:history="1">
                        <w:r w:rsidRPr="003011F7">
                          <w:rPr>
                            <w:rStyle w:val="Hyperlink"/>
                            <w:rFonts w:asciiTheme="minorBidi" w:hAnsiTheme="minorBidi" w:cstheme="minorBidi"/>
                          </w:rPr>
                          <w:t>Caesars agrees £2.9bn William Hill takeover - but will sell off UK betting shops | Business News | Sky News</w:t>
                        </w:r>
                      </w:hyperlink>
                      <w:r w:rsidRPr="003011F7">
                        <w:rPr>
                          <w:rFonts w:asciiTheme="minorBidi" w:hAnsiTheme="minorBidi" w:cstheme="minorBidi"/>
                        </w:rPr>
                        <w:t>)</w:t>
                      </w:r>
                      <w:r w:rsidRPr="003011F7">
                        <w:rPr>
                          <w:rFonts w:asciiTheme="minorBidi" w:eastAsiaTheme="minorEastAsia" w:hAnsiTheme="minorBidi" w:cstheme="minorBidi"/>
                          <w:color w:val="000000"/>
                          <w:lang w:val="en-AE" w:eastAsia="en-US"/>
                        </w:rPr>
                        <w:t>, company websites, bid document and stock market data, but the annual reports for 2019 &amp; 2020 should be the main source of financial data (</w:t>
                      </w:r>
                      <w:hyperlink r:id="rId10" w:history="1">
                        <w:r w:rsidRPr="003011F7">
                          <w:rPr>
                            <w:rStyle w:val="Hyperlink"/>
                            <w:rFonts w:asciiTheme="minorBidi" w:eastAsiaTheme="minorEastAsia" w:hAnsiTheme="minorBidi" w:cstheme="minorBidi"/>
                            <w:lang w:val="en-AE" w:eastAsia="en-US"/>
                          </w:rPr>
                          <w:t>https://www.williamhillplc.com/historical-investor-centre/results-reports-and-presentations/2021/</w:t>
                        </w:r>
                      </w:hyperlink>
                      <w:r w:rsidRPr="003011F7">
                        <w:rPr>
                          <w:rFonts w:asciiTheme="minorBidi" w:eastAsiaTheme="minorEastAsia" w:hAnsiTheme="minorBidi" w:cstheme="minorBidi"/>
                          <w:color w:val="000000"/>
                          <w:lang w:val="en-AE" w:eastAsia="en-US"/>
                        </w:rPr>
                        <w:t xml:space="preserve">). </w:t>
                      </w:r>
                      <w:r w:rsidRPr="003011F7">
                        <w:rPr>
                          <w:rFonts w:asciiTheme="minorBidi" w:hAnsiTheme="minorBidi" w:cstheme="minorBidi"/>
                        </w:rPr>
                        <w:t xml:space="preserve">There are three team roles for the interim assessment: Chief executive (CEO); Chief finance officer (CFO); &amp; Chief Risk officer (CRO) </w:t>
                      </w:r>
                      <w:r w:rsidRPr="003011F7">
                        <w:rPr>
                          <w:rFonts w:asciiTheme="minorBidi" w:hAnsiTheme="minorBidi" w:cstheme="minorBidi"/>
                          <w:b/>
                          <w:bCs/>
                        </w:rPr>
                        <w:t>For the MBA, you may choose the CEO or CRO role and for the MSc GFM you may choose the CFO or CRO role</w:t>
                      </w:r>
                      <w:r w:rsidRPr="003011F7">
                        <w:rPr>
                          <w:rFonts w:asciiTheme="minorBidi" w:hAnsiTheme="minorBidi" w:cstheme="minorBidi"/>
                        </w:rPr>
                        <w:t>.</w:t>
                      </w:r>
                    </w:p>
                  </w:txbxContent>
                </v:textbox>
                <w10:wrap type="square"/>
              </v:shape>
            </w:pict>
          </mc:Fallback>
        </mc:AlternateContent>
      </w:r>
      <w:r>
        <w:rPr>
          <w:rFonts w:eastAsia="Arial" w:cs="Arial"/>
          <w:bCs/>
          <w:spacing w:val="-1"/>
          <w:szCs w:val="24"/>
          <w:lang w:val="en-US"/>
        </w:rPr>
        <w:t>Assignment scenario:</w:t>
      </w:r>
    </w:p>
    <w:p w14:paraId="65871960" w14:textId="77777777" w:rsidR="00BB72D8" w:rsidRDefault="00BB72D8" w:rsidP="00BB72D8">
      <w:pPr>
        <w:jc w:val="both"/>
        <w:rPr>
          <w:rFonts w:eastAsia="Arial" w:cs="Arial"/>
          <w:bCs/>
          <w:spacing w:val="-1"/>
          <w:szCs w:val="24"/>
          <w:lang w:val="en-US"/>
        </w:rPr>
      </w:pPr>
    </w:p>
    <w:p w14:paraId="0AE55743" w14:textId="77777777" w:rsidR="00BB72D8" w:rsidRPr="00F07FE0" w:rsidRDefault="00BB72D8" w:rsidP="00BB72D8">
      <w:pPr>
        <w:jc w:val="both"/>
        <w:rPr>
          <w:rFonts w:eastAsia="Arial" w:cs="Arial"/>
          <w:bCs/>
          <w:spacing w:val="-1"/>
          <w:szCs w:val="24"/>
          <w:lang w:val="en-US"/>
        </w:rPr>
      </w:pPr>
      <w:r w:rsidRPr="00FA20AE">
        <w:rPr>
          <w:rFonts w:eastAsia="Arial" w:cs="Arial"/>
          <w:bCs/>
          <w:noProof/>
          <w:spacing w:val="-1"/>
          <w:szCs w:val="24"/>
          <w:lang w:eastAsia="en-GB"/>
        </w:rPr>
        <mc:AlternateContent>
          <mc:Choice Requires="wps">
            <w:drawing>
              <wp:anchor distT="45720" distB="45720" distL="114300" distR="114300" simplePos="0" relativeHeight="251660288" behindDoc="0" locked="0" layoutInCell="1" allowOverlap="1" wp14:anchorId="1662FB2F" wp14:editId="6E4AE767">
                <wp:simplePos x="0" y="0"/>
                <wp:positionH relativeFrom="column">
                  <wp:posOffset>26035</wp:posOffset>
                </wp:positionH>
                <wp:positionV relativeFrom="paragraph">
                  <wp:posOffset>238760</wp:posOffset>
                </wp:positionV>
                <wp:extent cx="6305550" cy="1404620"/>
                <wp:effectExtent l="0" t="0" r="19050" b="2159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1404620"/>
                        </a:xfrm>
                        <a:prstGeom prst="rect">
                          <a:avLst/>
                        </a:prstGeom>
                        <a:solidFill>
                          <a:srgbClr val="FFFFFF"/>
                        </a:solidFill>
                        <a:ln w="9525">
                          <a:solidFill>
                            <a:srgbClr val="000000"/>
                          </a:solidFill>
                          <a:miter lim="800000"/>
                          <a:headEnd/>
                          <a:tailEnd/>
                        </a:ln>
                      </wps:spPr>
                      <wps:txbx>
                        <w:txbxContent>
                          <w:p w14:paraId="10BBFE45" w14:textId="77777777" w:rsidR="00BB72D8" w:rsidRPr="009A1216" w:rsidRDefault="00BB72D8" w:rsidP="00BB72D8">
                            <w:pPr>
                              <w:pStyle w:val="ListParagraph"/>
                              <w:numPr>
                                <w:ilvl w:val="0"/>
                                <w:numId w:val="1"/>
                              </w:numPr>
                              <w:jc w:val="both"/>
                              <w:rPr>
                                <w:rFonts w:eastAsia="Arial" w:cs="Arial"/>
                                <w:bCs/>
                                <w:spacing w:val="-1"/>
                                <w:szCs w:val="24"/>
                                <w:lang w:val="en-US"/>
                              </w:rPr>
                            </w:pPr>
                            <w:r w:rsidRPr="009A1216">
                              <w:rPr>
                                <w:rFonts w:eastAsia="Arial" w:cs="Arial"/>
                                <w:bCs/>
                                <w:spacing w:val="-1"/>
                                <w:szCs w:val="24"/>
                                <w:lang w:val="en-US"/>
                              </w:rPr>
                              <w:t xml:space="preserve">A </w:t>
                            </w:r>
                            <w:r w:rsidRPr="009A1216">
                              <w:rPr>
                                <w:rFonts w:eastAsia="Arial" w:cs="Arial"/>
                                <w:b/>
                                <w:bCs/>
                                <w:spacing w:val="-1"/>
                                <w:szCs w:val="24"/>
                                <w:lang w:val="en-US"/>
                              </w:rPr>
                              <w:t>business case</w:t>
                            </w:r>
                            <w:r w:rsidRPr="009A1216">
                              <w:rPr>
                                <w:rFonts w:eastAsia="Arial" w:cs="Arial"/>
                                <w:bCs/>
                                <w:spacing w:val="-1"/>
                                <w:szCs w:val="24"/>
                                <w:lang w:val="en-US"/>
                              </w:rPr>
                              <w:t xml:space="preserve"> should be made to justify the takeover bid. Present </w:t>
                            </w:r>
                            <w:r w:rsidRPr="009A1216">
                              <w:rPr>
                                <w:rFonts w:eastAsia="Arial" w:cs="Arial"/>
                                <w:b/>
                                <w:spacing w:val="-1"/>
                                <w:szCs w:val="24"/>
                                <w:lang w:val="en-US"/>
                              </w:rPr>
                              <w:t>ONE</w:t>
                            </w:r>
                            <w:r w:rsidRPr="009A1216">
                              <w:rPr>
                                <w:rFonts w:eastAsia="Arial" w:cs="Arial"/>
                                <w:bCs/>
                                <w:spacing w:val="-1"/>
                                <w:szCs w:val="24"/>
                                <w:lang w:val="en-US"/>
                              </w:rPr>
                              <w:t xml:space="preserve"> view from:</w:t>
                            </w:r>
                          </w:p>
                          <w:p w14:paraId="17166261" w14:textId="77777777" w:rsidR="00BB72D8" w:rsidRPr="009A1216" w:rsidRDefault="00BB72D8" w:rsidP="00BB72D8">
                            <w:pPr>
                              <w:pStyle w:val="ListParagraph"/>
                              <w:numPr>
                                <w:ilvl w:val="1"/>
                                <w:numId w:val="1"/>
                              </w:numPr>
                              <w:jc w:val="both"/>
                              <w:rPr>
                                <w:rFonts w:eastAsia="Arial" w:cs="Arial"/>
                                <w:bCs/>
                                <w:spacing w:val="-1"/>
                                <w:szCs w:val="24"/>
                                <w:lang w:val="en-US"/>
                              </w:rPr>
                            </w:pPr>
                            <w:r w:rsidRPr="009A1216">
                              <w:rPr>
                                <w:rFonts w:eastAsia="Arial" w:cs="Arial"/>
                                <w:bCs/>
                                <w:spacing w:val="-1"/>
                                <w:szCs w:val="24"/>
                                <w:lang w:val="en-US"/>
                              </w:rPr>
                              <w:t>The CEO should present a strategic/market (competitor) analysis</w:t>
                            </w:r>
                          </w:p>
                          <w:p w14:paraId="50C8D763" w14:textId="77777777" w:rsidR="00BB72D8" w:rsidRPr="009A1216" w:rsidRDefault="00BB72D8" w:rsidP="00BB72D8">
                            <w:pPr>
                              <w:pStyle w:val="ListParagraph"/>
                              <w:numPr>
                                <w:ilvl w:val="1"/>
                                <w:numId w:val="1"/>
                              </w:numPr>
                              <w:jc w:val="both"/>
                              <w:rPr>
                                <w:rFonts w:eastAsia="Arial" w:cs="Arial"/>
                                <w:bCs/>
                                <w:spacing w:val="-1"/>
                                <w:szCs w:val="24"/>
                                <w:lang w:val="en-US"/>
                              </w:rPr>
                            </w:pPr>
                            <w:r w:rsidRPr="009A1216">
                              <w:rPr>
                                <w:rFonts w:eastAsia="Arial" w:cs="Arial"/>
                                <w:bCs/>
                                <w:spacing w:val="-1"/>
                                <w:szCs w:val="24"/>
                                <w:lang w:val="en-US"/>
                              </w:rPr>
                              <w:t>The CRO should present an analysis of the business, financial and takeover risks</w:t>
                            </w:r>
                          </w:p>
                          <w:p w14:paraId="43FBDAFD" w14:textId="77777777" w:rsidR="00BB72D8" w:rsidRPr="009A1216" w:rsidRDefault="00BB72D8" w:rsidP="00BB72D8">
                            <w:pPr>
                              <w:pStyle w:val="ListParagraph"/>
                              <w:numPr>
                                <w:ilvl w:val="1"/>
                                <w:numId w:val="1"/>
                              </w:numPr>
                              <w:jc w:val="both"/>
                              <w:rPr>
                                <w:rFonts w:eastAsia="Arial" w:cs="Arial"/>
                                <w:bCs/>
                                <w:spacing w:val="-1"/>
                                <w:szCs w:val="24"/>
                                <w:lang w:val="en-US"/>
                              </w:rPr>
                            </w:pPr>
                            <w:r w:rsidRPr="009A1216">
                              <w:rPr>
                                <w:rFonts w:eastAsia="Arial" w:cs="Arial"/>
                                <w:bCs/>
                                <w:spacing w:val="-1"/>
                                <w:szCs w:val="24"/>
                                <w:lang w:val="en-US"/>
                              </w:rPr>
                              <w:t xml:space="preserve">The CFO should present a preliminary financial analysis, stating the assumptions required to value the target company using DCF analysis (2 power-point slides which address one of the above should be appended to your report) - </w:t>
                            </w:r>
                            <w:r w:rsidRPr="009A1216">
                              <w:rPr>
                                <w:rFonts w:eastAsia="Arial" w:cs="Arial"/>
                                <w:b/>
                                <w:bCs/>
                                <w:spacing w:val="-1"/>
                                <w:szCs w:val="24"/>
                                <w:lang w:val="en-US"/>
                              </w:rPr>
                              <w:t>15 marks</w:t>
                            </w:r>
                          </w:p>
                          <w:p w14:paraId="300CF693" w14:textId="77777777" w:rsidR="00BB72D8" w:rsidRPr="009A1216" w:rsidRDefault="00BB72D8" w:rsidP="00BB72D8">
                            <w:pPr>
                              <w:pStyle w:val="ListParagraph"/>
                              <w:numPr>
                                <w:ilvl w:val="0"/>
                                <w:numId w:val="1"/>
                              </w:numPr>
                              <w:jc w:val="both"/>
                              <w:rPr>
                                <w:rFonts w:eastAsia="Arial" w:cs="Arial"/>
                                <w:bCs/>
                                <w:spacing w:val="-1"/>
                                <w:szCs w:val="24"/>
                                <w:lang w:val="en-US"/>
                              </w:rPr>
                            </w:pPr>
                            <w:r w:rsidRPr="009A1216">
                              <w:rPr>
                                <w:rFonts w:eastAsia="Arial" w:cs="Arial"/>
                                <w:spacing w:val="-1"/>
                                <w:szCs w:val="24"/>
                                <w:lang w:val="en-US"/>
                              </w:rPr>
                              <w:t xml:space="preserve">A </w:t>
                            </w:r>
                            <w:r w:rsidRPr="009A1216">
                              <w:rPr>
                                <w:rFonts w:eastAsia="Arial" w:cs="Arial"/>
                                <w:b/>
                                <w:bCs/>
                                <w:spacing w:val="-1"/>
                                <w:szCs w:val="24"/>
                                <w:lang w:val="en-US"/>
                              </w:rPr>
                              <w:t>business valuation</w:t>
                            </w:r>
                            <w:r w:rsidRPr="009A1216">
                              <w:rPr>
                                <w:rFonts w:eastAsia="Arial" w:cs="Arial"/>
                                <w:bCs/>
                                <w:spacing w:val="-1"/>
                                <w:szCs w:val="24"/>
                                <w:lang w:val="en-US"/>
                              </w:rPr>
                              <w:t xml:space="preserve">, based on your own </w:t>
                            </w:r>
                            <w:r w:rsidRPr="009A1216">
                              <w:rPr>
                                <w:rFonts w:eastAsia="Arial" w:cs="Arial"/>
                                <w:spacing w:val="-1"/>
                                <w:szCs w:val="24"/>
                                <w:lang w:val="en-US"/>
                              </w:rPr>
                              <w:t>financial analysis</w:t>
                            </w:r>
                            <w:r w:rsidRPr="009A1216">
                              <w:rPr>
                                <w:rFonts w:eastAsia="Arial" w:cs="Arial"/>
                                <w:bCs/>
                                <w:spacing w:val="-1"/>
                                <w:szCs w:val="24"/>
                                <w:lang w:val="en-US"/>
                              </w:rPr>
                              <w:t xml:space="preserve"> of the target company, to justify the bid price offered for </w:t>
                            </w:r>
                            <w:r>
                              <w:rPr>
                                <w:rFonts w:eastAsia="Arial" w:cs="Arial"/>
                                <w:bCs/>
                                <w:spacing w:val="-1"/>
                                <w:szCs w:val="24"/>
                                <w:lang w:val="en-US"/>
                              </w:rPr>
                              <w:t>William Hill</w:t>
                            </w:r>
                            <w:r w:rsidRPr="009A1216">
                              <w:rPr>
                                <w:rFonts w:eastAsia="Arial" w:cs="Arial"/>
                                <w:bCs/>
                                <w:spacing w:val="-1"/>
                                <w:szCs w:val="24"/>
                                <w:lang w:val="en-US"/>
                              </w:rPr>
                              <w:t xml:space="preserve">. You should append 2 pages from an excel spreadsheet valuation model (results &amp; formulae) to your report – </w:t>
                            </w:r>
                            <w:r w:rsidRPr="009A1216">
                              <w:rPr>
                                <w:rFonts w:eastAsia="Arial" w:cs="Arial"/>
                                <w:b/>
                                <w:bCs/>
                                <w:spacing w:val="-1"/>
                                <w:szCs w:val="24"/>
                                <w:lang w:val="en-US"/>
                              </w:rPr>
                              <w:t>30 marks</w:t>
                            </w:r>
                          </w:p>
                          <w:p w14:paraId="7C5C36FF" w14:textId="77777777" w:rsidR="00BB72D8" w:rsidRPr="009A1216" w:rsidRDefault="00BB72D8" w:rsidP="00BB72D8">
                            <w:pPr>
                              <w:pStyle w:val="ListParagraph"/>
                              <w:numPr>
                                <w:ilvl w:val="0"/>
                                <w:numId w:val="1"/>
                              </w:numPr>
                              <w:jc w:val="both"/>
                              <w:rPr>
                                <w:rFonts w:eastAsia="Arial" w:cs="Arial"/>
                                <w:bCs/>
                                <w:spacing w:val="-1"/>
                                <w:szCs w:val="24"/>
                                <w:lang w:val="en-US"/>
                              </w:rPr>
                            </w:pPr>
                            <w:r w:rsidRPr="009A1216">
                              <w:rPr>
                                <w:rFonts w:eastAsia="Arial" w:cs="Arial"/>
                                <w:b/>
                                <w:bCs/>
                                <w:spacing w:val="-1"/>
                                <w:szCs w:val="24"/>
                                <w:lang w:val="en-US"/>
                              </w:rPr>
                              <w:t xml:space="preserve">What if? </w:t>
                            </w:r>
                            <w:r w:rsidRPr="009A1216">
                              <w:rPr>
                                <w:rFonts w:eastAsia="Arial" w:cs="Arial"/>
                                <w:bCs/>
                                <w:spacing w:val="-1"/>
                                <w:szCs w:val="24"/>
                                <w:lang w:val="en-US"/>
                              </w:rPr>
                              <w:t>Identify a possible rival bidder (usually from the same sector). Explain</w:t>
                            </w:r>
                            <w:r w:rsidRPr="009A1216">
                              <w:rPr>
                                <w:rFonts w:eastAsia="Arial" w:cs="Arial"/>
                                <w:b/>
                                <w:bCs/>
                                <w:spacing w:val="-1"/>
                                <w:szCs w:val="24"/>
                                <w:lang w:val="en-US"/>
                              </w:rPr>
                              <w:t xml:space="preserve"> </w:t>
                            </w:r>
                            <w:r w:rsidRPr="009A1216">
                              <w:rPr>
                                <w:rFonts w:eastAsia="Arial" w:cs="Arial"/>
                                <w:spacing w:val="-1"/>
                                <w:szCs w:val="24"/>
                                <w:lang w:val="en-US"/>
                              </w:rPr>
                              <w:t>wh</w:t>
                            </w:r>
                            <w:r w:rsidRPr="009A1216">
                              <w:rPr>
                                <w:rFonts w:eastAsia="Arial" w:cs="Arial"/>
                                <w:bCs/>
                                <w:spacing w:val="-1"/>
                                <w:szCs w:val="24"/>
                                <w:lang w:val="en-US"/>
                              </w:rPr>
                              <w:t xml:space="preserve">y the rival bidder may have made different assumptions in their </w:t>
                            </w:r>
                            <w:r w:rsidRPr="009A1216">
                              <w:rPr>
                                <w:rFonts w:eastAsia="Arial" w:cs="Arial"/>
                                <w:b/>
                                <w:bCs/>
                                <w:spacing w:val="-1"/>
                                <w:szCs w:val="24"/>
                                <w:lang w:val="en-US"/>
                              </w:rPr>
                              <w:t>business valuation</w:t>
                            </w:r>
                            <w:r w:rsidRPr="009A1216">
                              <w:rPr>
                                <w:rFonts w:eastAsia="Arial" w:cs="Arial"/>
                                <w:bCs/>
                                <w:spacing w:val="-1"/>
                                <w:szCs w:val="24"/>
                                <w:lang w:val="en-US"/>
                              </w:rPr>
                              <w:t xml:space="preserve"> and hence a different bid price – </w:t>
                            </w:r>
                            <w:r w:rsidRPr="009A1216">
                              <w:rPr>
                                <w:rFonts w:eastAsia="Arial" w:cs="Arial"/>
                                <w:b/>
                                <w:bCs/>
                                <w:spacing w:val="-1"/>
                                <w:szCs w:val="24"/>
                                <w:lang w:val="en-US"/>
                              </w:rPr>
                              <w:t>10 marks</w:t>
                            </w:r>
                          </w:p>
                          <w:p w14:paraId="78B6CD6B" w14:textId="77777777" w:rsidR="00BB72D8" w:rsidRPr="009A1216" w:rsidRDefault="00BB72D8" w:rsidP="00BB72D8">
                            <w:pPr>
                              <w:pStyle w:val="ListParagraph"/>
                              <w:numPr>
                                <w:ilvl w:val="0"/>
                                <w:numId w:val="1"/>
                              </w:numPr>
                              <w:jc w:val="both"/>
                              <w:rPr>
                                <w:rFonts w:eastAsia="Arial" w:cs="Arial"/>
                                <w:bCs/>
                                <w:spacing w:val="-1"/>
                                <w:szCs w:val="24"/>
                                <w:lang w:val="en-US"/>
                              </w:rPr>
                            </w:pPr>
                            <w:r w:rsidRPr="009A1216">
                              <w:rPr>
                                <w:rFonts w:eastAsia="Arial" w:cs="Arial"/>
                                <w:bCs/>
                                <w:spacing w:val="-1"/>
                                <w:szCs w:val="24"/>
                                <w:lang w:val="en-US"/>
                              </w:rPr>
                              <w:t xml:space="preserve">A </w:t>
                            </w:r>
                            <w:r w:rsidRPr="009A1216">
                              <w:rPr>
                                <w:rFonts w:eastAsia="Arial" w:cs="Arial"/>
                                <w:b/>
                                <w:bCs/>
                                <w:spacing w:val="-1"/>
                                <w:szCs w:val="24"/>
                                <w:lang w:val="en-US"/>
                              </w:rPr>
                              <w:t>critique</w:t>
                            </w:r>
                            <w:r w:rsidRPr="009A1216">
                              <w:rPr>
                                <w:rFonts w:eastAsia="Arial" w:cs="Arial"/>
                                <w:bCs/>
                                <w:spacing w:val="-1"/>
                                <w:szCs w:val="24"/>
                                <w:lang w:val="en-US"/>
                              </w:rPr>
                              <w:t xml:space="preserve"> of business valuation methods and relevant research, explaining why the anticipated bidder gains may not come to fruition, especially given the economic crisis due to Covid-19.  Refer to relevant research and cite journal articles to support your </w:t>
                            </w:r>
                            <w:r w:rsidRPr="009A1216">
                              <w:rPr>
                                <w:rFonts w:eastAsia="Arial" w:cs="Arial"/>
                                <w:b/>
                                <w:bCs/>
                                <w:spacing w:val="-1"/>
                                <w:szCs w:val="24"/>
                                <w:lang w:val="en-US"/>
                              </w:rPr>
                              <w:t>discussion</w:t>
                            </w:r>
                            <w:r w:rsidRPr="009A1216">
                              <w:rPr>
                                <w:rFonts w:eastAsia="Arial" w:cs="Arial"/>
                                <w:bCs/>
                                <w:spacing w:val="-1"/>
                                <w:szCs w:val="24"/>
                                <w:lang w:val="en-US"/>
                              </w:rPr>
                              <w:t xml:space="preserve"> – </w:t>
                            </w:r>
                            <w:r w:rsidRPr="009A1216">
                              <w:rPr>
                                <w:rFonts w:eastAsia="Arial" w:cs="Arial"/>
                                <w:b/>
                                <w:bCs/>
                                <w:spacing w:val="-1"/>
                                <w:szCs w:val="24"/>
                                <w:lang w:val="en-US"/>
                              </w:rPr>
                              <w:t>20 marks</w:t>
                            </w:r>
                          </w:p>
                          <w:p w14:paraId="17F37A95" w14:textId="77777777" w:rsidR="00BB72D8" w:rsidRPr="009A1216" w:rsidRDefault="00BB72D8" w:rsidP="00BB72D8">
                            <w:pPr>
                              <w:pStyle w:val="ListParagraph"/>
                              <w:numPr>
                                <w:ilvl w:val="0"/>
                                <w:numId w:val="1"/>
                              </w:numPr>
                              <w:jc w:val="both"/>
                              <w:rPr>
                                <w:rFonts w:eastAsia="Arial" w:cs="Arial"/>
                                <w:bCs/>
                                <w:spacing w:val="-1"/>
                                <w:szCs w:val="24"/>
                                <w:lang w:val="en-US"/>
                              </w:rPr>
                            </w:pPr>
                            <w:r w:rsidRPr="009A1216">
                              <w:rPr>
                                <w:rFonts w:eastAsia="Arial" w:cs="Arial"/>
                                <w:bCs/>
                                <w:spacing w:val="-1"/>
                                <w:szCs w:val="24"/>
                                <w:lang w:val="en-US"/>
                              </w:rPr>
                              <w:t>A</w:t>
                            </w:r>
                            <w:r w:rsidRPr="009A1216">
                              <w:rPr>
                                <w:rFonts w:eastAsia="Arial" w:cs="Arial"/>
                                <w:b/>
                                <w:bCs/>
                                <w:spacing w:val="-1"/>
                                <w:szCs w:val="24"/>
                                <w:lang w:val="en-US"/>
                              </w:rPr>
                              <w:t xml:space="preserve"> learning log</w:t>
                            </w:r>
                            <w:r w:rsidRPr="009A1216">
                              <w:rPr>
                                <w:rFonts w:eastAsia="Arial" w:cs="Arial"/>
                                <w:bCs/>
                                <w:spacing w:val="-1"/>
                                <w:szCs w:val="24"/>
                                <w:lang w:val="en-US"/>
                              </w:rPr>
                              <w:t xml:space="preserve"> or blog based on the module content to reflect on what you have learnt from each session, including reference to Moodle materials, showing how you have applied this learning to the assessment task, to be appended to your report – </w:t>
                            </w:r>
                            <w:r w:rsidRPr="009A1216">
                              <w:rPr>
                                <w:rFonts w:eastAsia="Arial" w:cs="Arial"/>
                                <w:b/>
                                <w:bCs/>
                                <w:spacing w:val="-1"/>
                                <w:szCs w:val="24"/>
                                <w:lang w:val="en-US"/>
                              </w:rPr>
                              <w:t>15 marks</w:t>
                            </w:r>
                          </w:p>
                          <w:p w14:paraId="72B27194" w14:textId="77777777" w:rsidR="00BB72D8" w:rsidRPr="009A1216" w:rsidRDefault="00BB72D8" w:rsidP="00BB72D8">
                            <w:pPr>
                              <w:pStyle w:val="ListParagraph"/>
                              <w:numPr>
                                <w:ilvl w:val="0"/>
                                <w:numId w:val="1"/>
                              </w:numPr>
                              <w:jc w:val="both"/>
                              <w:rPr>
                                <w:rFonts w:eastAsia="Arial" w:cs="Arial"/>
                                <w:bCs/>
                                <w:spacing w:val="-1"/>
                                <w:szCs w:val="24"/>
                                <w:lang w:val="en-US"/>
                              </w:rPr>
                            </w:pPr>
                            <w:r w:rsidRPr="009A1216">
                              <w:rPr>
                                <w:rFonts w:eastAsia="Arial" w:cs="Arial"/>
                                <w:bCs/>
                                <w:spacing w:val="-1"/>
                                <w:szCs w:val="24"/>
                                <w:lang w:val="en-US"/>
                              </w:rPr>
                              <w:t xml:space="preserve">A supporting </w:t>
                            </w:r>
                            <w:r w:rsidRPr="009A1216">
                              <w:rPr>
                                <w:rFonts w:eastAsia="Arial" w:cs="Arial"/>
                                <w:b/>
                                <w:spacing w:val="-1"/>
                                <w:szCs w:val="24"/>
                                <w:lang w:val="en-US"/>
                              </w:rPr>
                              <w:t>bibliography</w:t>
                            </w:r>
                            <w:r w:rsidRPr="009A1216">
                              <w:rPr>
                                <w:rFonts w:eastAsia="Arial" w:cs="Arial"/>
                                <w:bCs/>
                                <w:spacing w:val="-1"/>
                                <w:szCs w:val="24"/>
                                <w:lang w:val="en-US"/>
                              </w:rPr>
                              <w:t xml:space="preserve"> and professional style of report (presentation) – </w:t>
                            </w:r>
                            <w:r w:rsidRPr="009A1216">
                              <w:rPr>
                                <w:rFonts w:eastAsia="Arial" w:cs="Arial"/>
                                <w:b/>
                                <w:spacing w:val="-1"/>
                                <w:szCs w:val="24"/>
                                <w:lang w:val="en-US"/>
                              </w:rPr>
                              <w:t>10 marks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62FB2F" id="_x0000_s1027" type="#_x0000_t202" style="position:absolute;left:0;text-align:left;margin-left:2.05pt;margin-top:18.8pt;width:496.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">
                <v:textbox style="mso-fit-shape-to-text:t">
                  <w:txbxContent>
                    <w:p w14:paraId="10BBFE45" w14:textId="77777777" w:rsidR="00BB72D8" w:rsidRPr="009A1216" w:rsidRDefault="00BB72D8" w:rsidP="00BB72D8">
                      <w:pPr>
                        <w:pStyle w:val="ListParagraph"/>
                        <w:numPr>
                          <w:ilvl w:val="0"/>
                          <w:numId w:val="1"/>
                        </w:numPr>
                        <w:jc w:val="both"/>
                        <w:rPr>
                          <w:rFonts w:eastAsia="Arial" w:cs="Arial"/>
                          <w:bCs/>
                          <w:spacing w:val="-1"/>
                          <w:szCs w:val="24"/>
                          <w:lang w:val="en-US"/>
                        </w:rPr>
                      </w:pPr>
                      <w:r w:rsidRPr="009A1216">
                        <w:rPr>
                          <w:rFonts w:eastAsia="Arial" w:cs="Arial"/>
                          <w:bCs/>
                          <w:spacing w:val="-1"/>
                          <w:szCs w:val="24"/>
                          <w:lang w:val="en-US"/>
                        </w:rPr>
                        <w:t xml:space="preserve">A </w:t>
                      </w:r>
                      <w:r w:rsidRPr="009A1216">
                        <w:rPr>
                          <w:rFonts w:eastAsia="Arial" w:cs="Arial"/>
                          <w:b/>
                          <w:bCs/>
                          <w:spacing w:val="-1"/>
                          <w:szCs w:val="24"/>
                          <w:lang w:val="en-US"/>
                        </w:rPr>
                        <w:t>business case</w:t>
                      </w:r>
                      <w:r w:rsidRPr="009A1216">
                        <w:rPr>
                          <w:rFonts w:eastAsia="Arial" w:cs="Arial"/>
                          <w:bCs/>
                          <w:spacing w:val="-1"/>
                          <w:szCs w:val="24"/>
                          <w:lang w:val="en-US"/>
                        </w:rPr>
                        <w:t xml:space="preserve"> should be made to justify the takeover bid. Present </w:t>
                      </w:r>
                      <w:r w:rsidRPr="009A1216">
                        <w:rPr>
                          <w:rFonts w:eastAsia="Arial" w:cs="Arial"/>
                          <w:b/>
                          <w:spacing w:val="-1"/>
                          <w:szCs w:val="24"/>
                          <w:lang w:val="en-US"/>
                        </w:rPr>
                        <w:t>ONE</w:t>
                      </w:r>
                      <w:r w:rsidRPr="009A1216">
                        <w:rPr>
                          <w:rFonts w:eastAsia="Arial" w:cs="Arial"/>
                          <w:bCs/>
                          <w:spacing w:val="-1"/>
                          <w:szCs w:val="24"/>
                          <w:lang w:val="en-US"/>
                        </w:rPr>
                        <w:t xml:space="preserve"> view from:</w:t>
                      </w:r>
                    </w:p>
                    <w:p w14:paraId="17166261" w14:textId="77777777" w:rsidR="00BB72D8" w:rsidRPr="009A1216" w:rsidRDefault="00BB72D8" w:rsidP="00BB72D8">
                      <w:pPr>
                        <w:pStyle w:val="ListParagraph"/>
                        <w:numPr>
                          <w:ilvl w:val="1"/>
                          <w:numId w:val="1"/>
                        </w:numPr>
                        <w:jc w:val="both"/>
                        <w:rPr>
                          <w:rFonts w:eastAsia="Arial" w:cs="Arial"/>
                          <w:bCs/>
                          <w:spacing w:val="-1"/>
                          <w:szCs w:val="24"/>
                          <w:lang w:val="en-US"/>
                        </w:rPr>
                      </w:pPr>
                      <w:r w:rsidRPr="009A1216">
                        <w:rPr>
                          <w:rFonts w:eastAsia="Arial" w:cs="Arial"/>
                          <w:bCs/>
                          <w:spacing w:val="-1"/>
                          <w:szCs w:val="24"/>
                          <w:lang w:val="en-US"/>
                        </w:rPr>
                        <w:t>The CEO should present a strategic/market (competitor) analysis</w:t>
                      </w:r>
                    </w:p>
                    <w:p w14:paraId="50C8D763" w14:textId="77777777" w:rsidR="00BB72D8" w:rsidRPr="009A1216" w:rsidRDefault="00BB72D8" w:rsidP="00BB72D8">
                      <w:pPr>
                        <w:pStyle w:val="ListParagraph"/>
                        <w:numPr>
                          <w:ilvl w:val="1"/>
                          <w:numId w:val="1"/>
                        </w:numPr>
                        <w:jc w:val="both"/>
                        <w:rPr>
                          <w:rFonts w:eastAsia="Arial" w:cs="Arial"/>
                          <w:bCs/>
                          <w:spacing w:val="-1"/>
                          <w:szCs w:val="24"/>
                          <w:lang w:val="en-US"/>
                        </w:rPr>
                      </w:pPr>
                      <w:r w:rsidRPr="009A1216">
                        <w:rPr>
                          <w:rFonts w:eastAsia="Arial" w:cs="Arial"/>
                          <w:bCs/>
                          <w:spacing w:val="-1"/>
                          <w:szCs w:val="24"/>
                          <w:lang w:val="en-US"/>
                        </w:rPr>
                        <w:t>The CRO should present an analysis of the business, financial and takeover risks</w:t>
                      </w:r>
                    </w:p>
                    <w:p w14:paraId="43FBDAFD" w14:textId="77777777" w:rsidR="00BB72D8" w:rsidRPr="009A1216" w:rsidRDefault="00BB72D8" w:rsidP="00BB72D8">
                      <w:pPr>
                        <w:pStyle w:val="ListParagraph"/>
                        <w:numPr>
                          <w:ilvl w:val="1"/>
                          <w:numId w:val="1"/>
                        </w:numPr>
                        <w:jc w:val="both"/>
                        <w:rPr>
                          <w:rFonts w:eastAsia="Arial" w:cs="Arial"/>
                          <w:bCs/>
                          <w:spacing w:val="-1"/>
                          <w:szCs w:val="24"/>
                          <w:lang w:val="en-US"/>
                        </w:rPr>
                      </w:pPr>
                      <w:r w:rsidRPr="009A1216">
                        <w:rPr>
                          <w:rFonts w:eastAsia="Arial" w:cs="Arial"/>
                          <w:bCs/>
                          <w:spacing w:val="-1"/>
                          <w:szCs w:val="24"/>
                          <w:lang w:val="en-US"/>
                        </w:rPr>
                        <w:t xml:space="preserve">The CFO should present a preliminary financial analysis, stating the assumptions required to value the target company using DCF analysis (2 power-point slides which address one of the above should be appended to your report) - </w:t>
                      </w:r>
                      <w:r w:rsidRPr="009A1216">
                        <w:rPr>
                          <w:rFonts w:eastAsia="Arial" w:cs="Arial"/>
                          <w:b/>
                          <w:bCs/>
                          <w:spacing w:val="-1"/>
                          <w:szCs w:val="24"/>
                          <w:lang w:val="en-US"/>
                        </w:rPr>
                        <w:t>15 marks</w:t>
                      </w:r>
                    </w:p>
                    <w:p w14:paraId="300CF693" w14:textId="77777777" w:rsidR="00BB72D8" w:rsidRPr="009A1216" w:rsidRDefault="00BB72D8" w:rsidP="00BB72D8">
                      <w:pPr>
                        <w:pStyle w:val="ListParagraph"/>
                        <w:numPr>
                          <w:ilvl w:val="0"/>
                          <w:numId w:val="1"/>
                        </w:numPr>
                        <w:jc w:val="both"/>
                        <w:rPr>
                          <w:rFonts w:eastAsia="Arial" w:cs="Arial"/>
                          <w:bCs/>
                          <w:spacing w:val="-1"/>
                          <w:szCs w:val="24"/>
                          <w:lang w:val="en-US"/>
                        </w:rPr>
                      </w:pPr>
                      <w:r w:rsidRPr="009A1216">
                        <w:rPr>
                          <w:rFonts w:eastAsia="Arial" w:cs="Arial"/>
                          <w:spacing w:val="-1"/>
                          <w:szCs w:val="24"/>
                          <w:lang w:val="en-US"/>
                        </w:rPr>
                        <w:t xml:space="preserve">A </w:t>
                      </w:r>
                      <w:r w:rsidRPr="009A1216">
                        <w:rPr>
                          <w:rFonts w:eastAsia="Arial" w:cs="Arial"/>
                          <w:b/>
                          <w:bCs/>
                          <w:spacing w:val="-1"/>
                          <w:szCs w:val="24"/>
                          <w:lang w:val="en-US"/>
                        </w:rPr>
                        <w:t>business valuation</w:t>
                      </w:r>
                      <w:r w:rsidRPr="009A1216">
                        <w:rPr>
                          <w:rFonts w:eastAsia="Arial" w:cs="Arial"/>
                          <w:bCs/>
                          <w:spacing w:val="-1"/>
                          <w:szCs w:val="24"/>
                          <w:lang w:val="en-US"/>
                        </w:rPr>
                        <w:t xml:space="preserve">, based on your own </w:t>
                      </w:r>
                      <w:r w:rsidRPr="009A1216">
                        <w:rPr>
                          <w:rFonts w:eastAsia="Arial" w:cs="Arial"/>
                          <w:spacing w:val="-1"/>
                          <w:szCs w:val="24"/>
                          <w:lang w:val="en-US"/>
                        </w:rPr>
                        <w:t>financial analysis</w:t>
                      </w:r>
                      <w:r w:rsidRPr="009A1216">
                        <w:rPr>
                          <w:rFonts w:eastAsia="Arial" w:cs="Arial"/>
                          <w:bCs/>
                          <w:spacing w:val="-1"/>
                          <w:szCs w:val="24"/>
                          <w:lang w:val="en-US"/>
                        </w:rPr>
                        <w:t xml:space="preserve"> of the target company, to justify the bid price offered for </w:t>
                      </w:r>
                      <w:r>
                        <w:rPr>
                          <w:rFonts w:eastAsia="Arial" w:cs="Arial"/>
                          <w:bCs/>
                          <w:spacing w:val="-1"/>
                          <w:szCs w:val="24"/>
                          <w:lang w:val="en-US"/>
                        </w:rPr>
                        <w:t>William Hill</w:t>
                      </w:r>
                      <w:r w:rsidRPr="009A1216">
                        <w:rPr>
                          <w:rFonts w:eastAsia="Arial" w:cs="Arial"/>
                          <w:bCs/>
                          <w:spacing w:val="-1"/>
                          <w:szCs w:val="24"/>
                          <w:lang w:val="en-US"/>
                        </w:rPr>
                        <w:t xml:space="preserve">. You should append 2 pages from an excel spreadsheet valuation model (results &amp; formulae) to your report – </w:t>
                      </w:r>
                      <w:r w:rsidRPr="009A1216">
                        <w:rPr>
                          <w:rFonts w:eastAsia="Arial" w:cs="Arial"/>
                          <w:b/>
                          <w:bCs/>
                          <w:spacing w:val="-1"/>
                          <w:szCs w:val="24"/>
                          <w:lang w:val="en-US"/>
                        </w:rPr>
                        <w:t>30 marks</w:t>
                      </w:r>
                    </w:p>
                    <w:p w14:paraId="7C5C36FF" w14:textId="77777777" w:rsidR="00BB72D8" w:rsidRPr="009A1216" w:rsidRDefault="00BB72D8" w:rsidP="00BB72D8">
                      <w:pPr>
                        <w:pStyle w:val="ListParagraph"/>
                        <w:numPr>
                          <w:ilvl w:val="0"/>
                          <w:numId w:val="1"/>
                        </w:numPr>
                        <w:jc w:val="both"/>
                        <w:rPr>
                          <w:rFonts w:eastAsia="Arial" w:cs="Arial"/>
                          <w:bCs/>
                          <w:spacing w:val="-1"/>
                          <w:szCs w:val="24"/>
                          <w:lang w:val="en-US"/>
                        </w:rPr>
                      </w:pPr>
                      <w:r w:rsidRPr="009A1216">
                        <w:rPr>
                          <w:rFonts w:eastAsia="Arial" w:cs="Arial"/>
                          <w:b/>
                          <w:bCs/>
                          <w:spacing w:val="-1"/>
                          <w:szCs w:val="24"/>
                          <w:lang w:val="en-US"/>
                        </w:rPr>
                        <w:t xml:space="preserve">What if? </w:t>
                      </w:r>
                      <w:r w:rsidRPr="009A1216">
                        <w:rPr>
                          <w:rFonts w:eastAsia="Arial" w:cs="Arial"/>
                          <w:bCs/>
                          <w:spacing w:val="-1"/>
                          <w:szCs w:val="24"/>
                          <w:lang w:val="en-US"/>
                        </w:rPr>
                        <w:t>Identify a possible rival bidder (usually from the same sector). Explain</w:t>
                      </w:r>
                      <w:r w:rsidRPr="009A1216">
                        <w:rPr>
                          <w:rFonts w:eastAsia="Arial" w:cs="Arial"/>
                          <w:b/>
                          <w:bCs/>
                          <w:spacing w:val="-1"/>
                          <w:szCs w:val="24"/>
                          <w:lang w:val="en-US"/>
                        </w:rPr>
                        <w:t xml:space="preserve"> </w:t>
                      </w:r>
                      <w:r w:rsidRPr="009A1216">
                        <w:rPr>
                          <w:rFonts w:eastAsia="Arial" w:cs="Arial"/>
                          <w:spacing w:val="-1"/>
                          <w:szCs w:val="24"/>
                          <w:lang w:val="en-US"/>
                        </w:rPr>
                        <w:t>wh</w:t>
                      </w:r>
                      <w:r w:rsidRPr="009A1216">
                        <w:rPr>
                          <w:rFonts w:eastAsia="Arial" w:cs="Arial"/>
                          <w:bCs/>
                          <w:spacing w:val="-1"/>
                          <w:szCs w:val="24"/>
                          <w:lang w:val="en-US"/>
                        </w:rPr>
                        <w:t xml:space="preserve">y the rival bidder may have made different assumptions in their </w:t>
                      </w:r>
                      <w:r w:rsidRPr="009A1216">
                        <w:rPr>
                          <w:rFonts w:eastAsia="Arial" w:cs="Arial"/>
                          <w:b/>
                          <w:bCs/>
                          <w:spacing w:val="-1"/>
                          <w:szCs w:val="24"/>
                          <w:lang w:val="en-US"/>
                        </w:rPr>
                        <w:t>business valuation</w:t>
                      </w:r>
                      <w:r w:rsidRPr="009A1216">
                        <w:rPr>
                          <w:rFonts w:eastAsia="Arial" w:cs="Arial"/>
                          <w:bCs/>
                          <w:spacing w:val="-1"/>
                          <w:szCs w:val="24"/>
                          <w:lang w:val="en-US"/>
                        </w:rPr>
                        <w:t xml:space="preserve"> and hence a different bid price – </w:t>
                      </w:r>
                      <w:r w:rsidRPr="009A1216">
                        <w:rPr>
                          <w:rFonts w:eastAsia="Arial" w:cs="Arial"/>
                          <w:b/>
                          <w:bCs/>
                          <w:spacing w:val="-1"/>
                          <w:szCs w:val="24"/>
                          <w:lang w:val="en-US"/>
                        </w:rPr>
                        <w:t>10 marks</w:t>
                      </w:r>
                    </w:p>
                    <w:p w14:paraId="78B6CD6B" w14:textId="77777777" w:rsidR="00BB72D8" w:rsidRPr="009A1216" w:rsidRDefault="00BB72D8" w:rsidP="00BB72D8">
                      <w:pPr>
                        <w:pStyle w:val="ListParagraph"/>
                        <w:numPr>
                          <w:ilvl w:val="0"/>
                          <w:numId w:val="1"/>
                        </w:numPr>
                        <w:jc w:val="both"/>
                        <w:rPr>
                          <w:rFonts w:eastAsia="Arial" w:cs="Arial"/>
                          <w:bCs/>
                          <w:spacing w:val="-1"/>
                          <w:szCs w:val="24"/>
                          <w:lang w:val="en-US"/>
                        </w:rPr>
                      </w:pPr>
                      <w:r w:rsidRPr="009A1216">
                        <w:rPr>
                          <w:rFonts w:eastAsia="Arial" w:cs="Arial"/>
                          <w:bCs/>
                          <w:spacing w:val="-1"/>
                          <w:szCs w:val="24"/>
                          <w:lang w:val="en-US"/>
                        </w:rPr>
                        <w:t xml:space="preserve">A </w:t>
                      </w:r>
                      <w:r w:rsidRPr="009A1216">
                        <w:rPr>
                          <w:rFonts w:eastAsia="Arial" w:cs="Arial"/>
                          <w:b/>
                          <w:bCs/>
                          <w:spacing w:val="-1"/>
                          <w:szCs w:val="24"/>
                          <w:lang w:val="en-US"/>
                        </w:rPr>
                        <w:t>critique</w:t>
                      </w:r>
                      <w:r w:rsidRPr="009A1216">
                        <w:rPr>
                          <w:rFonts w:eastAsia="Arial" w:cs="Arial"/>
                          <w:bCs/>
                          <w:spacing w:val="-1"/>
                          <w:szCs w:val="24"/>
                          <w:lang w:val="en-US"/>
                        </w:rPr>
                        <w:t xml:space="preserve"> of business valuation methods and relevant research, explaining why the anticipated bidder gains may not come to fruition, especially given the economic crisis due to Covid-19.  Refer to relevant research and cite journal articles to support your </w:t>
                      </w:r>
                      <w:r w:rsidRPr="009A1216">
                        <w:rPr>
                          <w:rFonts w:eastAsia="Arial" w:cs="Arial"/>
                          <w:b/>
                          <w:bCs/>
                          <w:spacing w:val="-1"/>
                          <w:szCs w:val="24"/>
                          <w:lang w:val="en-US"/>
                        </w:rPr>
                        <w:t>discussion</w:t>
                      </w:r>
                      <w:r w:rsidRPr="009A1216">
                        <w:rPr>
                          <w:rFonts w:eastAsia="Arial" w:cs="Arial"/>
                          <w:bCs/>
                          <w:spacing w:val="-1"/>
                          <w:szCs w:val="24"/>
                          <w:lang w:val="en-US"/>
                        </w:rPr>
                        <w:t xml:space="preserve"> – </w:t>
                      </w:r>
                      <w:r w:rsidRPr="009A1216">
                        <w:rPr>
                          <w:rFonts w:eastAsia="Arial" w:cs="Arial"/>
                          <w:b/>
                          <w:bCs/>
                          <w:spacing w:val="-1"/>
                          <w:szCs w:val="24"/>
                          <w:lang w:val="en-US"/>
                        </w:rPr>
                        <w:t>20 marks</w:t>
                      </w:r>
                    </w:p>
                    <w:p w14:paraId="17F37A95" w14:textId="77777777" w:rsidR="00BB72D8" w:rsidRPr="009A1216" w:rsidRDefault="00BB72D8" w:rsidP="00BB72D8">
                      <w:pPr>
                        <w:pStyle w:val="ListParagraph"/>
                        <w:numPr>
                          <w:ilvl w:val="0"/>
                          <w:numId w:val="1"/>
                        </w:numPr>
                        <w:jc w:val="both"/>
                        <w:rPr>
                          <w:rFonts w:eastAsia="Arial" w:cs="Arial"/>
                          <w:bCs/>
                          <w:spacing w:val="-1"/>
                          <w:szCs w:val="24"/>
                          <w:lang w:val="en-US"/>
                        </w:rPr>
                      </w:pPr>
                      <w:r w:rsidRPr="009A1216">
                        <w:rPr>
                          <w:rFonts w:eastAsia="Arial" w:cs="Arial"/>
                          <w:bCs/>
                          <w:spacing w:val="-1"/>
                          <w:szCs w:val="24"/>
                          <w:lang w:val="en-US"/>
                        </w:rPr>
                        <w:t>A</w:t>
                      </w:r>
                      <w:r w:rsidRPr="009A1216">
                        <w:rPr>
                          <w:rFonts w:eastAsia="Arial" w:cs="Arial"/>
                          <w:b/>
                          <w:bCs/>
                          <w:spacing w:val="-1"/>
                          <w:szCs w:val="24"/>
                          <w:lang w:val="en-US"/>
                        </w:rPr>
                        <w:t xml:space="preserve"> learning log</w:t>
                      </w:r>
                      <w:r w:rsidRPr="009A1216">
                        <w:rPr>
                          <w:rFonts w:eastAsia="Arial" w:cs="Arial"/>
                          <w:bCs/>
                          <w:spacing w:val="-1"/>
                          <w:szCs w:val="24"/>
                          <w:lang w:val="en-US"/>
                        </w:rPr>
                        <w:t xml:space="preserve"> or blog based on the module content to reflect on what you have learnt from each session, including reference to Moodle materials, showing how you have applied this learning to the assessment task, to be appended to your report – </w:t>
                      </w:r>
                      <w:r w:rsidRPr="009A1216">
                        <w:rPr>
                          <w:rFonts w:eastAsia="Arial" w:cs="Arial"/>
                          <w:b/>
                          <w:bCs/>
                          <w:spacing w:val="-1"/>
                          <w:szCs w:val="24"/>
                          <w:lang w:val="en-US"/>
                        </w:rPr>
                        <w:t>15 marks</w:t>
                      </w:r>
                    </w:p>
                    <w:p w14:paraId="72B27194" w14:textId="77777777" w:rsidR="00BB72D8" w:rsidRPr="009A1216" w:rsidRDefault="00BB72D8" w:rsidP="00BB72D8">
                      <w:pPr>
                        <w:pStyle w:val="ListParagraph"/>
                        <w:numPr>
                          <w:ilvl w:val="0"/>
                          <w:numId w:val="1"/>
                        </w:numPr>
                        <w:jc w:val="both"/>
                        <w:rPr>
                          <w:rFonts w:eastAsia="Arial" w:cs="Arial"/>
                          <w:bCs/>
                          <w:spacing w:val="-1"/>
                          <w:szCs w:val="24"/>
                          <w:lang w:val="en-US"/>
                        </w:rPr>
                      </w:pPr>
                      <w:r w:rsidRPr="009A1216">
                        <w:rPr>
                          <w:rFonts w:eastAsia="Arial" w:cs="Arial"/>
                          <w:bCs/>
                          <w:spacing w:val="-1"/>
                          <w:szCs w:val="24"/>
                          <w:lang w:val="en-US"/>
                        </w:rPr>
                        <w:t xml:space="preserve">A supporting </w:t>
                      </w:r>
                      <w:r w:rsidRPr="009A1216">
                        <w:rPr>
                          <w:rFonts w:eastAsia="Arial" w:cs="Arial"/>
                          <w:b/>
                          <w:spacing w:val="-1"/>
                          <w:szCs w:val="24"/>
                          <w:lang w:val="en-US"/>
                        </w:rPr>
                        <w:t>bibliography</w:t>
                      </w:r>
                      <w:r w:rsidRPr="009A1216">
                        <w:rPr>
                          <w:rFonts w:eastAsia="Arial" w:cs="Arial"/>
                          <w:bCs/>
                          <w:spacing w:val="-1"/>
                          <w:szCs w:val="24"/>
                          <w:lang w:val="en-US"/>
                        </w:rPr>
                        <w:t xml:space="preserve"> and professional style of report (presentation) – </w:t>
                      </w:r>
                      <w:r w:rsidRPr="009A1216">
                        <w:rPr>
                          <w:rFonts w:eastAsia="Arial" w:cs="Arial"/>
                          <w:b/>
                          <w:spacing w:val="-1"/>
                          <w:szCs w:val="24"/>
                          <w:lang w:val="en-US"/>
                        </w:rPr>
                        <w:t>10 marks</w:t>
                      </w:r>
                    </w:p>
                  </w:txbxContent>
                </v:textbox>
                <w10:wrap type="square"/>
              </v:shape>
            </w:pict>
          </mc:Fallback>
        </mc:AlternateContent>
      </w:r>
      <w:r>
        <w:rPr>
          <w:rFonts w:eastAsia="Arial" w:cs="Arial"/>
          <w:bCs/>
          <w:spacing w:val="-1"/>
          <w:szCs w:val="24"/>
          <w:lang w:val="en-US"/>
        </w:rPr>
        <w:t>Required elements of the project appraisal report:</w:t>
      </w:r>
    </w:p>
    <w:p w14:paraId="1C6DC187" w14:textId="77777777" w:rsidR="000B1E19" w:rsidRDefault="000B1E19" w:rsidP="00F07FE0">
      <w:pPr>
        <w:jc w:val="both"/>
        <w:rPr>
          <w:rFonts w:eastAsia="Arial" w:cs="Arial"/>
          <w:bCs/>
          <w:spacing w:val="-1"/>
          <w:szCs w:val="24"/>
          <w:lang w:val="en-US"/>
        </w:rPr>
      </w:pPr>
    </w:p>
    <w:p w14:paraId="5E731AF7" w14:textId="25ED51F4" w:rsidR="007B7B64" w:rsidRDefault="00B2374A" w:rsidP="00F07FE0">
      <w:pPr>
        <w:jc w:val="both"/>
        <w:rPr>
          <w:rFonts w:eastAsia="Arial" w:cs="Arial"/>
          <w:bCs/>
          <w:spacing w:val="-1"/>
          <w:szCs w:val="24"/>
          <w:lang w:val="en-US"/>
        </w:rPr>
      </w:pPr>
      <w:bookmarkStart w:id="0" w:name="_GoBack"/>
      <w:r w:rsidRPr="00BB72D8">
        <w:rPr>
          <w:rFonts w:eastAsia="Arial" w:cs="Arial"/>
          <w:b/>
          <w:spacing w:val="-1"/>
          <w:szCs w:val="24"/>
          <w:lang w:val="en-US"/>
        </w:rPr>
        <w:lastRenderedPageBreak/>
        <w:t>A</w:t>
      </w:r>
      <w:bookmarkEnd w:id="0"/>
      <w:r w:rsidRPr="00C477FA">
        <w:rPr>
          <w:rFonts w:eastAsia="Arial" w:cs="Arial"/>
          <w:bCs/>
          <w:spacing w:val="-1"/>
          <w:szCs w:val="24"/>
          <w:lang w:val="en-US"/>
        </w:rPr>
        <w:t xml:space="preserve"> </w:t>
      </w:r>
      <w:r w:rsidRPr="00C477FA">
        <w:rPr>
          <w:rFonts w:eastAsia="Arial" w:cs="Arial"/>
          <w:b/>
          <w:bCs/>
          <w:spacing w:val="-1"/>
          <w:szCs w:val="24"/>
          <w:lang w:val="en-US"/>
        </w:rPr>
        <w:t>business case</w:t>
      </w:r>
      <w:r w:rsidRPr="00C477FA">
        <w:rPr>
          <w:rFonts w:eastAsia="Arial" w:cs="Arial"/>
          <w:bCs/>
          <w:spacing w:val="-1"/>
          <w:szCs w:val="24"/>
          <w:lang w:val="en-US"/>
        </w:rPr>
        <w:t xml:space="preserve"> should be made to justify the takeover bid</w:t>
      </w:r>
      <w:r>
        <w:rPr>
          <w:rFonts w:eastAsia="Arial" w:cs="Arial"/>
          <w:bCs/>
          <w:noProof/>
          <w:spacing w:val="-1"/>
          <w:szCs w:val="24"/>
          <w:lang w:eastAsia="en-GB"/>
        </w:rPr>
        <w:t>. Your</w:t>
      </w:r>
      <w:r>
        <w:rPr>
          <w:rFonts w:eastAsia="Arial" w:cs="Arial"/>
          <w:b/>
          <w:spacing w:val="-1"/>
          <w:szCs w:val="24"/>
          <w:lang w:val="en-US"/>
        </w:rPr>
        <w:t xml:space="preserve"> </w:t>
      </w:r>
      <w:r w:rsidR="005102F8" w:rsidRPr="00C477FA">
        <w:rPr>
          <w:rFonts w:eastAsia="Arial" w:cs="Arial"/>
          <w:b/>
          <w:spacing w:val="-1"/>
          <w:szCs w:val="24"/>
          <w:lang w:val="en-US"/>
        </w:rPr>
        <w:t>report</w:t>
      </w:r>
      <w:r>
        <w:rPr>
          <w:rFonts w:eastAsia="Arial" w:cs="Arial"/>
          <w:bCs/>
          <w:spacing w:val="-1"/>
          <w:szCs w:val="24"/>
          <w:lang w:val="en-US"/>
        </w:rPr>
        <w:t xml:space="preserve"> should contain:</w:t>
      </w:r>
    </w:p>
    <w:p w14:paraId="7E117B82" w14:textId="77777777" w:rsidR="007B7B64" w:rsidRPr="007B7B64" w:rsidRDefault="007B7B64" w:rsidP="007B7B64">
      <w:pPr>
        <w:rPr>
          <w:rFonts w:eastAsia="Arial" w:cs="Arial"/>
          <w:szCs w:val="24"/>
          <w:lang w:val="en-US"/>
        </w:rPr>
      </w:pPr>
    </w:p>
    <w:p w14:paraId="7055B40C" w14:textId="77777777" w:rsidR="007B7B64" w:rsidRPr="007B7B64" w:rsidRDefault="007B7B64" w:rsidP="007B7B64">
      <w:pPr>
        <w:rPr>
          <w:rFonts w:eastAsia="Arial" w:cs="Arial"/>
          <w:szCs w:val="24"/>
          <w:lang w:val="en-US"/>
        </w:rPr>
      </w:pPr>
    </w:p>
    <w:p w14:paraId="348F4EFB" w14:textId="67A042BA" w:rsidR="007B7B64" w:rsidRDefault="007B7B64" w:rsidP="007B7B64">
      <w:pPr>
        <w:rPr>
          <w:rFonts w:cs="Arial"/>
          <w:b/>
          <w:color w:val="006600"/>
          <w:sz w:val="26"/>
          <w:szCs w:val="26"/>
        </w:rPr>
      </w:pPr>
      <w:r>
        <w:rPr>
          <w:rFonts w:cs="Arial"/>
          <w:b/>
          <w:color w:val="006600"/>
          <w:sz w:val="26"/>
          <w:szCs w:val="26"/>
        </w:rPr>
        <w:t>Structure and presentation</w:t>
      </w:r>
    </w:p>
    <w:p w14:paraId="78D5CE12" w14:textId="77777777" w:rsidR="007B7B64" w:rsidRPr="00465C5A" w:rsidRDefault="007B7B64" w:rsidP="007B7B64">
      <w:pPr>
        <w:rPr>
          <w:rFonts w:cs="Arial"/>
          <w:b/>
          <w:color w:val="006600"/>
          <w:sz w:val="22"/>
          <w:szCs w:val="22"/>
        </w:rPr>
      </w:pPr>
    </w:p>
    <w:p w14:paraId="3D4F6F0B" w14:textId="77777777" w:rsidR="007B7B64" w:rsidRPr="00163BC6" w:rsidRDefault="007B7B64" w:rsidP="007B7B64">
      <w:pPr>
        <w:jc w:val="both"/>
        <w:rPr>
          <w:rFonts w:cs="Arial"/>
          <w:sz w:val="22"/>
          <w:szCs w:val="22"/>
        </w:rPr>
      </w:pPr>
      <w:r w:rsidRPr="00465C5A">
        <w:rPr>
          <w:rFonts w:eastAsia="Arial" w:cs="Arial"/>
          <w:bCs/>
          <w:spacing w:val="-1"/>
          <w:sz w:val="22"/>
          <w:szCs w:val="22"/>
          <w:lang w:val="en-US"/>
        </w:rPr>
        <w:t>The individual report should be 3000 words plus</w:t>
      </w:r>
      <w:r>
        <w:rPr>
          <w:rFonts w:eastAsia="Arial" w:cs="Arial"/>
          <w:bCs/>
          <w:spacing w:val="-1"/>
          <w:sz w:val="22"/>
          <w:szCs w:val="22"/>
          <w:lang w:val="en-US"/>
        </w:rPr>
        <w:t xml:space="preserve"> references and appendices</w:t>
      </w:r>
      <w:r w:rsidRPr="00465C5A">
        <w:rPr>
          <w:rFonts w:eastAsia="Arial" w:cs="Arial"/>
          <w:bCs/>
          <w:spacing w:val="-1"/>
          <w:sz w:val="22"/>
          <w:szCs w:val="22"/>
          <w:lang w:val="en-US"/>
        </w:rPr>
        <w:t xml:space="preserve">. The report must be a word document, but you are expected to use a spreadsheet for the financial analysis. You should submit </w:t>
      </w:r>
      <w:r>
        <w:rPr>
          <w:rFonts w:eastAsia="Arial" w:cs="Arial"/>
          <w:bCs/>
          <w:spacing w:val="-1"/>
          <w:sz w:val="22"/>
          <w:szCs w:val="22"/>
          <w:lang w:val="en-US"/>
        </w:rPr>
        <w:t xml:space="preserve">screenshots of </w:t>
      </w:r>
      <w:r w:rsidRPr="00465C5A">
        <w:rPr>
          <w:rFonts w:eastAsia="Arial" w:cs="Arial"/>
          <w:bCs/>
          <w:spacing w:val="-1"/>
          <w:sz w:val="22"/>
          <w:szCs w:val="22"/>
          <w:lang w:val="en-US"/>
        </w:rPr>
        <w:t xml:space="preserve">your spreadsheet </w:t>
      </w:r>
      <w:r>
        <w:rPr>
          <w:rFonts w:eastAsia="Arial" w:cs="Arial"/>
          <w:bCs/>
          <w:spacing w:val="-1"/>
          <w:sz w:val="22"/>
          <w:szCs w:val="22"/>
          <w:lang w:val="en-US"/>
        </w:rPr>
        <w:t xml:space="preserve">results view and </w:t>
      </w:r>
      <w:r w:rsidRPr="00465C5A">
        <w:rPr>
          <w:rFonts w:eastAsia="Arial" w:cs="Arial"/>
          <w:bCs/>
          <w:spacing w:val="-1"/>
          <w:sz w:val="22"/>
          <w:szCs w:val="22"/>
          <w:lang w:val="en-US"/>
        </w:rPr>
        <w:t xml:space="preserve">formulae </w:t>
      </w:r>
      <w:r>
        <w:rPr>
          <w:rFonts w:eastAsia="Arial" w:cs="Arial"/>
          <w:bCs/>
          <w:spacing w:val="-1"/>
          <w:sz w:val="22"/>
          <w:szCs w:val="22"/>
          <w:lang w:val="en-US"/>
        </w:rPr>
        <w:t>view in</w:t>
      </w:r>
      <w:r w:rsidRPr="00465C5A">
        <w:rPr>
          <w:rFonts w:eastAsia="Arial" w:cs="Arial"/>
          <w:bCs/>
          <w:spacing w:val="-1"/>
          <w:sz w:val="22"/>
          <w:szCs w:val="22"/>
          <w:lang w:val="en-US"/>
        </w:rPr>
        <w:t xml:space="preserve"> an appendix.</w:t>
      </w:r>
    </w:p>
    <w:p w14:paraId="2B63BF0E" w14:textId="77777777" w:rsidR="007B7B64" w:rsidRPr="00163BC6" w:rsidRDefault="007B7B64" w:rsidP="007B7B64">
      <w:pPr>
        <w:jc w:val="both"/>
        <w:rPr>
          <w:rFonts w:cs="Arial"/>
          <w:sz w:val="22"/>
          <w:szCs w:val="22"/>
        </w:rPr>
      </w:pPr>
    </w:p>
    <w:p w14:paraId="2CA54F8F" w14:textId="77777777" w:rsidR="007B7B64" w:rsidRDefault="007B7B64" w:rsidP="007B7B64">
      <w:pPr>
        <w:jc w:val="both"/>
        <w:rPr>
          <w:rFonts w:cs="Arial"/>
          <w:sz w:val="22"/>
          <w:szCs w:val="22"/>
        </w:rPr>
      </w:pPr>
      <w:r w:rsidRPr="00163BC6">
        <w:rPr>
          <w:rFonts w:cs="Arial"/>
          <w:sz w:val="22"/>
          <w:szCs w:val="22"/>
        </w:rPr>
        <w:t xml:space="preserve">Any written work should be spell-checked and a contents page should be included. Do </w:t>
      </w:r>
      <w:r w:rsidRPr="00163BC6">
        <w:rPr>
          <w:rFonts w:cs="Arial"/>
          <w:sz w:val="22"/>
          <w:szCs w:val="22"/>
          <w:u w:val="single"/>
        </w:rPr>
        <w:t>not</w:t>
      </w:r>
      <w:r w:rsidRPr="00163BC6">
        <w:rPr>
          <w:rFonts w:cs="Arial"/>
          <w:sz w:val="22"/>
          <w:szCs w:val="22"/>
        </w:rPr>
        <w:t xml:space="preserve"> use various font sizes and colours Black ink, Arial, size 11, 1.5 lines spaced is recommended. Use DIN A4 format and page margins of 2.5 cm or 1 inch.</w:t>
      </w:r>
    </w:p>
    <w:p w14:paraId="5CE9E1C3" w14:textId="77777777" w:rsidR="007B7B64" w:rsidRPr="00465C5A" w:rsidRDefault="007B7B64" w:rsidP="007B7B64">
      <w:pPr>
        <w:jc w:val="both"/>
        <w:rPr>
          <w:rFonts w:cs="Arial"/>
          <w:b/>
          <w:color w:val="006600"/>
          <w:sz w:val="22"/>
          <w:szCs w:val="22"/>
        </w:rPr>
      </w:pPr>
    </w:p>
    <w:p w14:paraId="1386D441" w14:textId="77777777" w:rsidR="007B7B64" w:rsidRDefault="007B7B64" w:rsidP="007B7B64">
      <w:pPr>
        <w:rPr>
          <w:rFonts w:cs="Arial"/>
          <w:b/>
          <w:color w:val="006600"/>
          <w:sz w:val="26"/>
          <w:szCs w:val="26"/>
        </w:rPr>
      </w:pPr>
      <w:r>
        <w:rPr>
          <w:rFonts w:cs="Arial"/>
          <w:b/>
          <w:color w:val="006600"/>
          <w:sz w:val="26"/>
          <w:szCs w:val="26"/>
        </w:rPr>
        <w:t>R</w:t>
      </w:r>
      <w:r w:rsidRPr="00656876">
        <w:rPr>
          <w:rFonts w:cs="Arial"/>
          <w:b/>
          <w:color w:val="006600"/>
          <w:sz w:val="26"/>
          <w:szCs w:val="26"/>
        </w:rPr>
        <w:t>eading list</w:t>
      </w:r>
    </w:p>
    <w:p w14:paraId="36896FFF" w14:textId="77777777" w:rsidR="007B7B64" w:rsidRPr="00656876" w:rsidRDefault="007B7B64" w:rsidP="007B7B64">
      <w:pPr>
        <w:rPr>
          <w:rFonts w:cs="Arial"/>
          <w:b/>
          <w:color w:val="006600"/>
          <w:sz w:val="26"/>
          <w:szCs w:val="26"/>
        </w:rPr>
      </w:pPr>
    </w:p>
    <w:p w14:paraId="519A4DD2" w14:textId="77777777" w:rsidR="007B7B64" w:rsidRPr="00A06E0C" w:rsidRDefault="007B7B64" w:rsidP="007B7B64">
      <w:pPr>
        <w:spacing w:before="120" w:after="120"/>
        <w:rPr>
          <w:rFonts w:eastAsia="Calibri" w:cs="Arial"/>
          <w:b/>
          <w:szCs w:val="24"/>
        </w:rPr>
      </w:pPr>
      <w:r w:rsidRPr="00A06E0C">
        <w:rPr>
          <w:rFonts w:eastAsia="Calibri" w:cs="Arial"/>
          <w:b/>
          <w:szCs w:val="24"/>
        </w:rPr>
        <w:t>Essential Reading</w:t>
      </w:r>
      <w:r>
        <w:rPr>
          <w:rFonts w:eastAsia="Calibri" w:cs="Arial"/>
          <w:b/>
          <w:szCs w:val="24"/>
        </w:rPr>
        <w:br/>
      </w:r>
    </w:p>
    <w:p w14:paraId="27A8565E" w14:textId="77777777" w:rsidR="007B7B64" w:rsidRPr="00465C5A" w:rsidRDefault="007B7B64" w:rsidP="007B7B64">
      <w:pPr>
        <w:widowControl w:val="0"/>
        <w:spacing w:before="120" w:after="120"/>
        <w:rPr>
          <w:rFonts w:eastAsia="Calibri" w:cs="Arial"/>
          <w:sz w:val="22"/>
          <w:szCs w:val="22"/>
        </w:rPr>
      </w:pPr>
      <w:proofErr w:type="spellStart"/>
      <w:r w:rsidRPr="00465C5A">
        <w:rPr>
          <w:rFonts w:eastAsia="Calibri" w:cs="Arial"/>
          <w:b/>
          <w:sz w:val="22"/>
          <w:szCs w:val="22"/>
          <w:lang w:val="en-US"/>
        </w:rPr>
        <w:t>Alkaraan</w:t>
      </w:r>
      <w:proofErr w:type="spellEnd"/>
      <w:r w:rsidRPr="00465C5A">
        <w:rPr>
          <w:rFonts w:eastAsia="Calibri" w:cs="Arial"/>
          <w:b/>
          <w:sz w:val="22"/>
          <w:szCs w:val="22"/>
          <w:lang w:val="en-US"/>
        </w:rPr>
        <w:t xml:space="preserve"> F. &amp; Northcott D. (2013)</w:t>
      </w:r>
      <w:r w:rsidRPr="00465C5A" w:rsidDel="007D4CC7">
        <w:rPr>
          <w:rFonts w:eastAsia="Calibri" w:cs="Arial"/>
          <w:b/>
          <w:sz w:val="22"/>
          <w:szCs w:val="22"/>
          <w:lang w:val="en-US"/>
        </w:rPr>
        <w:t>.</w:t>
      </w:r>
      <w:r w:rsidRPr="00465C5A">
        <w:rPr>
          <w:rFonts w:eastAsia="Calibri" w:cs="Arial"/>
          <w:sz w:val="22"/>
          <w:szCs w:val="22"/>
          <w:lang w:val="en-US"/>
        </w:rPr>
        <w:t xml:space="preserve"> </w:t>
      </w:r>
      <w:r w:rsidRPr="00465C5A" w:rsidDel="007D4CC7">
        <w:rPr>
          <w:rFonts w:eastAsia="Calibri" w:cs="Arial"/>
          <w:sz w:val="22"/>
          <w:szCs w:val="22"/>
          <w:lang w:val="en-US"/>
        </w:rPr>
        <w:t>“</w:t>
      </w:r>
      <w:r w:rsidRPr="00465C5A">
        <w:rPr>
          <w:rFonts w:eastAsia="Calibri" w:cs="Arial"/>
          <w:sz w:val="22"/>
          <w:szCs w:val="22"/>
          <w:lang w:val="en-US"/>
        </w:rPr>
        <w:t>Strategic investment decision-making processes: The influence of contextual factors</w:t>
      </w:r>
      <w:r w:rsidRPr="00465C5A" w:rsidDel="007D4CC7">
        <w:rPr>
          <w:rFonts w:eastAsia="Calibri" w:cs="Arial"/>
          <w:sz w:val="22"/>
          <w:szCs w:val="22"/>
          <w:lang w:val="en-US"/>
        </w:rPr>
        <w:t>”</w:t>
      </w:r>
      <w:r w:rsidRPr="00465C5A">
        <w:rPr>
          <w:rFonts w:eastAsia="Calibri" w:cs="Arial"/>
          <w:sz w:val="22"/>
          <w:szCs w:val="22"/>
          <w:lang w:val="en-US"/>
        </w:rPr>
        <w:t>.</w:t>
      </w:r>
      <w:r w:rsidRPr="00465C5A" w:rsidDel="007D4CC7">
        <w:rPr>
          <w:rFonts w:eastAsia="Calibri" w:cs="Arial"/>
          <w:sz w:val="22"/>
          <w:szCs w:val="22"/>
          <w:lang w:val="en-US"/>
        </w:rPr>
        <w:t xml:space="preserve"> </w:t>
      </w:r>
      <w:r w:rsidRPr="00465C5A">
        <w:rPr>
          <w:rFonts w:eastAsia="Calibri" w:cs="Arial"/>
          <w:sz w:val="22"/>
          <w:szCs w:val="22"/>
          <w:lang w:val="en-US"/>
        </w:rPr>
        <w:t xml:space="preserve"> </w:t>
      </w:r>
      <w:proofErr w:type="spellStart"/>
      <w:r w:rsidRPr="00465C5A">
        <w:rPr>
          <w:rFonts w:eastAsia="Calibri" w:cs="Arial"/>
          <w:i/>
          <w:sz w:val="22"/>
          <w:szCs w:val="22"/>
          <w:lang w:val="en-US"/>
        </w:rPr>
        <w:t>Meditari</w:t>
      </w:r>
      <w:proofErr w:type="spellEnd"/>
      <w:r w:rsidRPr="00465C5A">
        <w:rPr>
          <w:rFonts w:eastAsia="Calibri" w:cs="Arial"/>
          <w:i/>
          <w:sz w:val="22"/>
          <w:szCs w:val="22"/>
          <w:lang w:val="en-US"/>
        </w:rPr>
        <w:t xml:space="preserve"> Accountancy Research</w:t>
      </w:r>
      <w:r w:rsidRPr="00465C5A" w:rsidDel="007D4CC7">
        <w:rPr>
          <w:rFonts w:eastAsia="Calibri" w:cs="Arial"/>
          <w:sz w:val="22"/>
          <w:szCs w:val="22"/>
          <w:lang w:val="en-US"/>
        </w:rPr>
        <w:t>,</w:t>
      </w:r>
      <w:r w:rsidRPr="00465C5A">
        <w:rPr>
          <w:rFonts w:eastAsia="Calibri" w:cs="Arial"/>
          <w:sz w:val="22"/>
          <w:szCs w:val="22"/>
          <w:lang w:val="en-US"/>
        </w:rPr>
        <w:t xml:space="preserve"> </w:t>
      </w:r>
      <w:r w:rsidRPr="00465C5A">
        <w:rPr>
          <w:rFonts w:eastAsia="Calibri" w:cs="Arial"/>
          <w:bCs/>
          <w:sz w:val="22"/>
          <w:szCs w:val="22"/>
          <w:lang w:val="en-US"/>
        </w:rPr>
        <w:t>21</w:t>
      </w:r>
      <w:r w:rsidRPr="00465C5A">
        <w:rPr>
          <w:rFonts w:eastAsia="Calibri" w:cs="Arial"/>
          <w:sz w:val="22"/>
          <w:szCs w:val="22"/>
          <w:lang w:val="en-US"/>
        </w:rPr>
        <w:t>(2) pp.</w:t>
      </w:r>
      <w:r w:rsidRPr="00465C5A" w:rsidDel="007D4CC7">
        <w:rPr>
          <w:rFonts w:eastAsia="Calibri" w:cs="Arial"/>
          <w:sz w:val="22"/>
          <w:szCs w:val="22"/>
          <w:lang w:val="en-US"/>
        </w:rPr>
        <w:t>,</w:t>
      </w:r>
      <w:r w:rsidRPr="00465C5A">
        <w:rPr>
          <w:rFonts w:eastAsia="Calibri" w:cs="Arial"/>
          <w:sz w:val="22"/>
          <w:szCs w:val="22"/>
          <w:lang w:val="en-US"/>
        </w:rPr>
        <w:t xml:space="preserve"> 117–</w:t>
      </w:r>
      <w:r w:rsidRPr="00465C5A" w:rsidDel="007D4CC7">
        <w:rPr>
          <w:rFonts w:eastAsia="Calibri" w:cs="Arial"/>
          <w:sz w:val="22"/>
          <w:szCs w:val="22"/>
          <w:lang w:val="en-US"/>
        </w:rPr>
        <w:t>-</w:t>
      </w:r>
      <w:r w:rsidRPr="00465C5A">
        <w:rPr>
          <w:rFonts w:eastAsia="Calibri" w:cs="Arial"/>
          <w:sz w:val="22"/>
          <w:szCs w:val="22"/>
          <w:lang w:val="en-US"/>
        </w:rPr>
        <w:t>143.</w:t>
      </w:r>
    </w:p>
    <w:p w14:paraId="00062F44" w14:textId="77777777" w:rsidR="007B7B64" w:rsidRPr="00465C5A" w:rsidRDefault="007B7B64" w:rsidP="007B7B64">
      <w:pPr>
        <w:widowControl w:val="0"/>
        <w:spacing w:before="120" w:after="120" w:line="276" w:lineRule="auto"/>
        <w:rPr>
          <w:rFonts w:eastAsia="Calibri" w:cs="Arial"/>
          <w:color w:val="000000"/>
          <w:sz w:val="22"/>
          <w:szCs w:val="22"/>
          <w:lang w:val="en-US"/>
        </w:rPr>
      </w:pPr>
      <w:r w:rsidRPr="00465C5A">
        <w:rPr>
          <w:rFonts w:eastAsia="Calibri" w:cs="Arial"/>
          <w:b/>
          <w:color w:val="000000"/>
          <w:sz w:val="22"/>
          <w:szCs w:val="22"/>
          <w:lang w:val="en-US"/>
        </w:rPr>
        <w:t>Elmassri, M.</w:t>
      </w:r>
      <w:r w:rsidRPr="00465C5A" w:rsidDel="007D4CC7">
        <w:rPr>
          <w:rFonts w:eastAsia="Calibri" w:cs="Arial"/>
          <w:b/>
          <w:color w:val="000000"/>
          <w:sz w:val="22"/>
          <w:szCs w:val="22"/>
          <w:lang w:val="en-US"/>
        </w:rPr>
        <w:t xml:space="preserve"> </w:t>
      </w:r>
      <w:r w:rsidRPr="00465C5A">
        <w:rPr>
          <w:rFonts w:eastAsia="Calibri" w:cs="Arial"/>
          <w:b/>
          <w:color w:val="000000"/>
          <w:sz w:val="22"/>
          <w:szCs w:val="22"/>
          <w:lang w:val="en-US"/>
        </w:rPr>
        <w:t>M., Harris, E.</w:t>
      </w:r>
      <w:r w:rsidRPr="00465C5A" w:rsidDel="007D4CC7">
        <w:rPr>
          <w:rFonts w:eastAsia="Calibri" w:cs="Arial"/>
          <w:b/>
          <w:color w:val="000000"/>
          <w:sz w:val="22"/>
          <w:szCs w:val="22"/>
          <w:lang w:val="en-US"/>
        </w:rPr>
        <w:t xml:space="preserve"> </w:t>
      </w:r>
      <w:r w:rsidRPr="00465C5A">
        <w:rPr>
          <w:rFonts w:eastAsia="Calibri" w:cs="Arial"/>
          <w:b/>
          <w:color w:val="000000"/>
          <w:sz w:val="22"/>
          <w:szCs w:val="22"/>
          <w:lang w:val="en-US"/>
        </w:rPr>
        <w:t>P., &amp;</w:t>
      </w:r>
      <w:r w:rsidRPr="00465C5A" w:rsidDel="007D4CC7">
        <w:rPr>
          <w:rFonts w:eastAsia="Calibri" w:cs="Arial"/>
          <w:b/>
          <w:color w:val="000000"/>
          <w:sz w:val="22"/>
          <w:szCs w:val="22"/>
          <w:lang w:val="en-US"/>
        </w:rPr>
        <w:t xml:space="preserve"> and</w:t>
      </w:r>
      <w:r w:rsidRPr="00465C5A">
        <w:rPr>
          <w:rFonts w:eastAsia="Calibri" w:cs="Arial"/>
          <w:b/>
          <w:color w:val="000000"/>
          <w:sz w:val="22"/>
          <w:szCs w:val="22"/>
          <w:lang w:val="en-US"/>
        </w:rPr>
        <w:t xml:space="preserve"> Carter, D.</w:t>
      </w:r>
      <w:r w:rsidRPr="00465C5A" w:rsidDel="007D4CC7">
        <w:rPr>
          <w:rFonts w:eastAsia="Calibri" w:cs="Arial"/>
          <w:b/>
          <w:color w:val="000000"/>
          <w:sz w:val="22"/>
          <w:szCs w:val="22"/>
          <w:lang w:val="en-US"/>
        </w:rPr>
        <w:t xml:space="preserve"> </w:t>
      </w:r>
      <w:r w:rsidRPr="00465C5A">
        <w:rPr>
          <w:rFonts w:eastAsia="Calibri" w:cs="Arial"/>
          <w:b/>
          <w:color w:val="000000"/>
          <w:sz w:val="22"/>
          <w:szCs w:val="22"/>
          <w:lang w:val="en-US"/>
        </w:rPr>
        <w:t>B. (2016)</w:t>
      </w:r>
      <w:r w:rsidRPr="00465C5A">
        <w:rPr>
          <w:rFonts w:eastAsia="Calibri" w:cs="Arial"/>
          <w:color w:val="000000"/>
          <w:sz w:val="22"/>
          <w:szCs w:val="22"/>
          <w:lang w:val="en-US"/>
        </w:rPr>
        <w:t xml:space="preserve"> </w:t>
      </w:r>
      <w:r w:rsidRPr="00465C5A" w:rsidDel="007D4CC7">
        <w:rPr>
          <w:rFonts w:eastAsia="Calibri" w:cs="Arial"/>
          <w:color w:val="000000"/>
          <w:sz w:val="22"/>
          <w:szCs w:val="22"/>
          <w:lang w:val="en-US"/>
        </w:rPr>
        <w:t>“</w:t>
      </w:r>
      <w:r w:rsidRPr="00465C5A">
        <w:rPr>
          <w:rFonts w:eastAsia="Calibri" w:cs="Arial"/>
          <w:color w:val="000000"/>
          <w:sz w:val="22"/>
          <w:szCs w:val="22"/>
          <w:lang w:val="en-US"/>
        </w:rPr>
        <w:t>Accounting for strategic investment decision-making under extreme uncertainty</w:t>
      </w:r>
      <w:r w:rsidRPr="00465C5A" w:rsidDel="007D4CC7">
        <w:rPr>
          <w:rFonts w:eastAsia="Calibri" w:cs="Arial"/>
          <w:color w:val="000000"/>
          <w:sz w:val="22"/>
          <w:szCs w:val="22"/>
          <w:lang w:val="en-US"/>
        </w:rPr>
        <w:t>”</w:t>
      </w:r>
      <w:proofErr w:type="gramStart"/>
      <w:r w:rsidRPr="00465C5A" w:rsidDel="007D4CC7">
        <w:rPr>
          <w:rFonts w:eastAsia="Calibri" w:cs="Arial"/>
          <w:b/>
          <w:color w:val="000000"/>
          <w:sz w:val="22"/>
          <w:szCs w:val="22"/>
          <w:lang w:val="en-US"/>
        </w:rPr>
        <w:t>,</w:t>
      </w:r>
      <w:r w:rsidRPr="00465C5A" w:rsidDel="007D4CC7">
        <w:rPr>
          <w:rFonts w:eastAsia="Calibri" w:cs="Arial"/>
          <w:color w:val="000000"/>
          <w:sz w:val="22"/>
          <w:szCs w:val="22"/>
          <w:lang w:val="en-US"/>
        </w:rPr>
        <w:t> </w:t>
      </w:r>
      <w:r w:rsidRPr="00465C5A">
        <w:rPr>
          <w:rFonts w:eastAsia="Calibri" w:cs="Arial"/>
          <w:color w:val="000000"/>
          <w:sz w:val="22"/>
          <w:szCs w:val="22"/>
          <w:lang w:val="en-US"/>
        </w:rPr>
        <w:t>.</w:t>
      </w:r>
      <w:proofErr w:type="gramEnd"/>
      <w:r w:rsidRPr="00465C5A">
        <w:rPr>
          <w:rFonts w:eastAsia="Calibri" w:cs="Arial"/>
          <w:color w:val="000000"/>
          <w:sz w:val="22"/>
          <w:szCs w:val="22"/>
          <w:lang w:val="en-US"/>
        </w:rPr>
        <w:t> </w:t>
      </w:r>
      <w:r w:rsidRPr="00465C5A">
        <w:rPr>
          <w:rFonts w:eastAsia="Calibri" w:cs="Arial"/>
          <w:i/>
          <w:iCs/>
          <w:color w:val="000000"/>
          <w:sz w:val="22"/>
          <w:szCs w:val="22"/>
          <w:lang w:val="en-US"/>
        </w:rPr>
        <w:t>British Accounting Review</w:t>
      </w:r>
      <w:r w:rsidRPr="00465C5A" w:rsidDel="007D4CC7">
        <w:rPr>
          <w:rFonts w:eastAsia="Calibri" w:cs="Arial"/>
          <w:color w:val="000000"/>
          <w:sz w:val="22"/>
          <w:szCs w:val="22"/>
          <w:lang w:val="en-US"/>
        </w:rPr>
        <w:t>,</w:t>
      </w:r>
      <w:r w:rsidRPr="00465C5A">
        <w:rPr>
          <w:rFonts w:eastAsia="Calibri" w:cs="Arial"/>
          <w:color w:val="000000"/>
          <w:sz w:val="22"/>
          <w:szCs w:val="22"/>
          <w:lang w:val="en-US"/>
        </w:rPr>
        <w:t xml:space="preserve"> 48(2) pp.</w:t>
      </w:r>
      <w:r w:rsidRPr="00465C5A" w:rsidDel="007D4CC7">
        <w:rPr>
          <w:rFonts w:eastAsia="Calibri" w:cs="Arial"/>
          <w:color w:val="000000"/>
          <w:sz w:val="22"/>
          <w:szCs w:val="22"/>
          <w:lang w:val="en-US"/>
        </w:rPr>
        <w:t>:</w:t>
      </w:r>
      <w:r w:rsidRPr="00465C5A">
        <w:rPr>
          <w:rFonts w:eastAsia="Calibri" w:cs="Arial"/>
          <w:color w:val="000000"/>
          <w:sz w:val="22"/>
          <w:szCs w:val="22"/>
          <w:lang w:val="en-US"/>
        </w:rPr>
        <w:t xml:space="preserve"> 151</w:t>
      </w:r>
      <w:r w:rsidRPr="00465C5A">
        <w:rPr>
          <w:rFonts w:eastAsia="Calibri" w:cs="Arial"/>
          <w:sz w:val="22"/>
          <w:szCs w:val="22"/>
          <w:lang w:val="en-US"/>
        </w:rPr>
        <w:t>–</w:t>
      </w:r>
      <w:r w:rsidRPr="00465C5A" w:rsidDel="007D4CC7">
        <w:rPr>
          <w:rFonts w:eastAsia="Calibri" w:cs="Arial"/>
          <w:color w:val="000000"/>
          <w:sz w:val="22"/>
          <w:szCs w:val="22"/>
          <w:lang w:val="en-US"/>
        </w:rPr>
        <w:t>-</w:t>
      </w:r>
      <w:r w:rsidRPr="00465C5A">
        <w:rPr>
          <w:rFonts w:eastAsia="Calibri" w:cs="Arial"/>
          <w:color w:val="000000"/>
          <w:sz w:val="22"/>
          <w:szCs w:val="22"/>
          <w:lang w:val="en-US"/>
        </w:rPr>
        <w:t>168.</w:t>
      </w:r>
    </w:p>
    <w:p w14:paraId="084FF263" w14:textId="77777777" w:rsidR="007B7B64" w:rsidRPr="00465C5A" w:rsidRDefault="007B7B64" w:rsidP="007B7B64">
      <w:pPr>
        <w:widowControl w:val="0"/>
        <w:spacing w:before="120" w:after="120"/>
        <w:rPr>
          <w:rFonts w:eastAsia="Calibri" w:cs="Arial"/>
          <w:sz w:val="22"/>
          <w:szCs w:val="22"/>
        </w:rPr>
      </w:pPr>
      <w:r w:rsidRPr="00465C5A">
        <w:rPr>
          <w:rFonts w:eastAsia="Calibri" w:cs="Arial"/>
          <w:b/>
          <w:sz w:val="22"/>
          <w:szCs w:val="22"/>
          <w:lang w:val="en-US"/>
        </w:rPr>
        <w:t>Emmanuel, C., Harris, E., &amp;</w:t>
      </w:r>
      <w:r w:rsidRPr="00465C5A" w:rsidDel="007D4CC7">
        <w:rPr>
          <w:rFonts w:eastAsia="Calibri" w:cs="Arial"/>
          <w:b/>
          <w:sz w:val="22"/>
          <w:szCs w:val="22"/>
          <w:lang w:val="en-US"/>
        </w:rPr>
        <w:t xml:space="preserve"> and</w:t>
      </w:r>
      <w:r w:rsidRPr="00465C5A">
        <w:rPr>
          <w:rFonts w:eastAsia="Calibri" w:cs="Arial"/>
          <w:b/>
          <w:sz w:val="22"/>
          <w:szCs w:val="22"/>
          <w:lang w:val="en-US"/>
        </w:rPr>
        <w:t xml:space="preserve"> </w:t>
      </w:r>
      <w:proofErr w:type="spellStart"/>
      <w:r w:rsidRPr="00465C5A">
        <w:rPr>
          <w:rFonts w:eastAsia="Calibri" w:cs="Arial"/>
          <w:b/>
          <w:sz w:val="22"/>
          <w:szCs w:val="22"/>
          <w:lang w:val="en-US"/>
        </w:rPr>
        <w:t>Komakech</w:t>
      </w:r>
      <w:proofErr w:type="spellEnd"/>
      <w:r w:rsidRPr="00465C5A">
        <w:rPr>
          <w:rFonts w:eastAsia="Calibri" w:cs="Arial"/>
          <w:b/>
          <w:sz w:val="22"/>
          <w:szCs w:val="22"/>
          <w:lang w:val="en-US"/>
        </w:rPr>
        <w:t>, S.</w:t>
      </w:r>
      <w:r w:rsidRPr="00465C5A" w:rsidDel="007D4CC7">
        <w:rPr>
          <w:rFonts w:eastAsia="Calibri" w:cs="Arial"/>
          <w:b/>
          <w:sz w:val="22"/>
          <w:szCs w:val="22"/>
          <w:lang w:val="en-US"/>
        </w:rPr>
        <w:t>,</w:t>
      </w:r>
      <w:r w:rsidRPr="00465C5A">
        <w:rPr>
          <w:rFonts w:eastAsia="Calibri" w:cs="Arial"/>
          <w:b/>
          <w:sz w:val="22"/>
          <w:szCs w:val="22"/>
          <w:lang w:val="en-US"/>
        </w:rPr>
        <w:t xml:space="preserve"> (2010</w:t>
      </w:r>
      <w:r w:rsidRPr="00465C5A">
        <w:rPr>
          <w:rFonts w:eastAsia="Calibri" w:cs="Arial"/>
          <w:sz w:val="22"/>
          <w:szCs w:val="22"/>
          <w:lang w:val="en-US"/>
        </w:rPr>
        <w:t xml:space="preserve">) </w:t>
      </w:r>
      <w:r w:rsidRPr="00465C5A" w:rsidDel="007D4CC7">
        <w:rPr>
          <w:rFonts w:eastAsia="Calibri" w:cs="Arial"/>
          <w:sz w:val="22"/>
          <w:szCs w:val="22"/>
          <w:lang w:val="en-US"/>
        </w:rPr>
        <w:t>“</w:t>
      </w:r>
      <w:r w:rsidRPr="00465C5A">
        <w:rPr>
          <w:rFonts w:eastAsia="Calibri" w:cs="Arial"/>
          <w:sz w:val="22"/>
          <w:szCs w:val="22"/>
          <w:lang w:val="en-US"/>
        </w:rPr>
        <w:t>Towards a better understanding of capital investment decisions</w:t>
      </w:r>
      <w:r w:rsidRPr="00465C5A" w:rsidDel="007D4CC7">
        <w:rPr>
          <w:rFonts w:eastAsia="Calibri" w:cs="Arial"/>
          <w:sz w:val="22"/>
          <w:szCs w:val="22"/>
          <w:lang w:val="en-US"/>
        </w:rPr>
        <w:t>”</w:t>
      </w:r>
      <w:proofErr w:type="gramStart"/>
      <w:r w:rsidRPr="00465C5A" w:rsidDel="007D4CC7">
        <w:rPr>
          <w:rFonts w:eastAsia="Calibri" w:cs="Arial"/>
          <w:sz w:val="22"/>
          <w:szCs w:val="22"/>
          <w:lang w:val="en-US"/>
        </w:rPr>
        <w:t xml:space="preserve">, </w:t>
      </w:r>
      <w:r w:rsidRPr="00465C5A">
        <w:rPr>
          <w:rFonts w:eastAsia="Calibri" w:cs="Arial"/>
          <w:sz w:val="22"/>
          <w:szCs w:val="22"/>
          <w:lang w:val="en-US"/>
        </w:rPr>
        <w:t>.</w:t>
      </w:r>
      <w:proofErr w:type="gramEnd"/>
      <w:r w:rsidRPr="00465C5A">
        <w:rPr>
          <w:rFonts w:eastAsia="Calibri" w:cs="Arial"/>
          <w:sz w:val="22"/>
          <w:szCs w:val="22"/>
          <w:lang w:val="en-US"/>
        </w:rPr>
        <w:t xml:space="preserve"> </w:t>
      </w:r>
      <w:r w:rsidRPr="00465C5A">
        <w:rPr>
          <w:rFonts w:eastAsia="Calibri" w:cs="Arial"/>
          <w:i/>
          <w:sz w:val="22"/>
          <w:szCs w:val="22"/>
          <w:lang w:val="en-US"/>
        </w:rPr>
        <w:t>Journal of Accounting and Organizational Change</w:t>
      </w:r>
      <w:r w:rsidRPr="00465C5A" w:rsidDel="007D4CC7">
        <w:rPr>
          <w:rFonts w:eastAsia="Calibri" w:cs="Arial"/>
          <w:sz w:val="22"/>
          <w:szCs w:val="22"/>
          <w:lang w:val="en-US"/>
        </w:rPr>
        <w:t>,</w:t>
      </w:r>
      <w:r w:rsidRPr="00465C5A">
        <w:rPr>
          <w:rFonts w:eastAsia="Calibri" w:cs="Arial"/>
          <w:sz w:val="22"/>
          <w:szCs w:val="22"/>
          <w:lang w:val="en-US"/>
        </w:rPr>
        <w:t xml:space="preserve"> 6(4) pp.</w:t>
      </w:r>
      <w:r w:rsidRPr="00465C5A" w:rsidDel="007D4CC7">
        <w:rPr>
          <w:rFonts w:eastAsia="Calibri" w:cs="Arial"/>
          <w:sz w:val="22"/>
          <w:szCs w:val="22"/>
          <w:lang w:val="en-US"/>
        </w:rPr>
        <w:t>:</w:t>
      </w:r>
      <w:r w:rsidRPr="00465C5A">
        <w:rPr>
          <w:rFonts w:eastAsia="Calibri" w:cs="Arial"/>
          <w:sz w:val="22"/>
          <w:szCs w:val="22"/>
          <w:lang w:val="en-US"/>
        </w:rPr>
        <w:t xml:space="preserve"> 477–</w:t>
      </w:r>
      <w:r w:rsidRPr="00465C5A" w:rsidDel="007D4CC7">
        <w:rPr>
          <w:rFonts w:eastAsia="Calibri" w:cs="Arial"/>
          <w:sz w:val="22"/>
          <w:szCs w:val="22"/>
          <w:lang w:val="en-US"/>
        </w:rPr>
        <w:t>-</w:t>
      </w:r>
      <w:r w:rsidRPr="00465C5A">
        <w:rPr>
          <w:rFonts w:eastAsia="Calibri" w:cs="Arial"/>
          <w:sz w:val="22"/>
          <w:szCs w:val="22"/>
          <w:lang w:val="en-US"/>
        </w:rPr>
        <w:t>504.</w:t>
      </w:r>
    </w:p>
    <w:p w14:paraId="7E1279A8" w14:textId="77777777" w:rsidR="007B7B64" w:rsidRPr="00465C5A" w:rsidRDefault="007B7B64" w:rsidP="007B7B64">
      <w:pPr>
        <w:widowControl w:val="0"/>
        <w:spacing w:before="120" w:after="120"/>
        <w:rPr>
          <w:rFonts w:eastAsia="Calibri" w:cs="Arial"/>
          <w:sz w:val="22"/>
          <w:szCs w:val="22"/>
        </w:rPr>
      </w:pPr>
      <w:proofErr w:type="spellStart"/>
      <w:r w:rsidRPr="00465C5A">
        <w:rPr>
          <w:rFonts w:eastAsia="Calibri" w:cs="Arial"/>
          <w:b/>
          <w:bCs/>
          <w:iCs/>
          <w:sz w:val="22"/>
          <w:szCs w:val="22"/>
          <w:lang w:val="en-US"/>
        </w:rPr>
        <w:t>Goetze</w:t>
      </w:r>
      <w:proofErr w:type="spellEnd"/>
      <w:r w:rsidRPr="00465C5A">
        <w:rPr>
          <w:rFonts w:eastAsia="Calibri" w:cs="Arial"/>
          <w:b/>
          <w:bCs/>
          <w:iCs/>
          <w:sz w:val="22"/>
          <w:szCs w:val="22"/>
          <w:lang w:val="en-US"/>
        </w:rPr>
        <w:t xml:space="preserve">, U., Northcott, D., &amp; Schuster, P. (2015) </w:t>
      </w:r>
      <w:r w:rsidRPr="00465C5A">
        <w:rPr>
          <w:rFonts w:eastAsia="Calibri" w:cs="Arial"/>
          <w:bCs/>
          <w:i/>
          <w:sz w:val="22"/>
          <w:szCs w:val="22"/>
          <w:lang w:val="en-US"/>
        </w:rPr>
        <w:t xml:space="preserve">Investment Appraisal Methods. </w:t>
      </w:r>
      <w:r w:rsidRPr="00465C5A">
        <w:rPr>
          <w:rFonts w:eastAsia="Calibri" w:cs="Arial"/>
          <w:bCs/>
          <w:sz w:val="22"/>
          <w:szCs w:val="22"/>
          <w:lang w:val="en-US"/>
        </w:rPr>
        <w:t>(2</w:t>
      </w:r>
      <w:r w:rsidRPr="00465C5A">
        <w:rPr>
          <w:rFonts w:eastAsia="Calibri" w:cs="Arial"/>
          <w:bCs/>
          <w:sz w:val="22"/>
          <w:szCs w:val="22"/>
          <w:vertAlign w:val="superscript"/>
          <w:lang w:val="en-US"/>
        </w:rPr>
        <w:t>nd</w:t>
      </w:r>
      <w:r w:rsidRPr="00465C5A">
        <w:rPr>
          <w:rFonts w:eastAsia="Calibri" w:cs="Arial"/>
          <w:bCs/>
          <w:sz w:val="22"/>
          <w:szCs w:val="22"/>
          <w:lang w:val="en-US"/>
        </w:rPr>
        <w:t xml:space="preserve"> ed.)</w:t>
      </w:r>
      <w:r w:rsidRPr="00465C5A">
        <w:rPr>
          <w:rFonts w:eastAsia="Calibri" w:cs="Arial"/>
          <w:bCs/>
          <w:iCs/>
          <w:sz w:val="22"/>
          <w:szCs w:val="22"/>
          <w:lang w:val="en-US"/>
        </w:rPr>
        <w:t xml:space="preserve"> Frankfurt: Kluwer Academic Publishers and Springer.</w:t>
      </w:r>
    </w:p>
    <w:p w14:paraId="25D22AA5" w14:textId="77777777" w:rsidR="007B7B64" w:rsidRPr="00465C5A" w:rsidRDefault="007B7B64" w:rsidP="007B7B64">
      <w:pPr>
        <w:widowControl w:val="0"/>
        <w:spacing w:before="120" w:after="120"/>
        <w:rPr>
          <w:rFonts w:eastAsia="Calibri" w:cs="Arial"/>
          <w:sz w:val="22"/>
          <w:szCs w:val="22"/>
        </w:rPr>
      </w:pPr>
      <w:r w:rsidRPr="00465C5A">
        <w:rPr>
          <w:rFonts w:eastAsia="Calibri" w:cs="Arial"/>
          <w:b/>
          <w:sz w:val="22"/>
          <w:szCs w:val="22"/>
        </w:rPr>
        <w:t>Harris, E. (2009)</w:t>
      </w:r>
      <w:r w:rsidRPr="00465C5A">
        <w:rPr>
          <w:rFonts w:eastAsia="Calibri" w:cs="Arial"/>
          <w:sz w:val="22"/>
          <w:szCs w:val="22"/>
        </w:rPr>
        <w:t xml:space="preserve"> Strategic Project Risk Appraisal and Management, Farnham, Gower.</w:t>
      </w:r>
    </w:p>
    <w:p w14:paraId="0ABAD316" w14:textId="77777777" w:rsidR="007B7B64" w:rsidRPr="00465C5A" w:rsidRDefault="007B7B64" w:rsidP="007B7B64">
      <w:pPr>
        <w:widowControl w:val="0"/>
        <w:spacing w:before="120" w:after="120"/>
        <w:rPr>
          <w:rFonts w:eastAsia="Calibri" w:cs="Arial"/>
          <w:sz w:val="22"/>
          <w:szCs w:val="22"/>
        </w:rPr>
      </w:pPr>
      <w:r w:rsidRPr="00465C5A">
        <w:rPr>
          <w:rFonts w:eastAsia="Calibri" w:cs="Arial"/>
          <w:b/>
          <w:sz w:val="22"/>
          <w:szCs w:val="22"/>
          <w:lang w:val="en-US"/>
        </w:rPr>
        <w:t xml:space="preserve">Harris, E., Emmanuel, C., &amp; </w:t>
      </w:r>
      <w:proofErr w:type="spellStart"/>
      <w:r w:rsidRPr="00465C5A">
        <w:rPr>
          <w:rFonts w:eastAsia="Calibri" w:cs="Arial"/>
          <w:b/>
          <w:sz w:val="22"/>
          <w:szCs w:val="22"/>
          <w:lang w:val="en-US"/>
        </w:rPr>
        <w:t>Komakech</w:t>
      </w:r>
      <w:proofErr w:type="spellEnd"/>
      <w:r w:rsidRPr="00465C5A">
        <w:rPr>
          <w:rFonts w:eastAsia="Calibri" w:cs="Arial"/>
          <w:b/>
          <w:sz w:val="22"/>
          <w:szCs w:val="22"/>
          <w:lang w:val="en-US"/>
        </w:rPr>
        <w:t>, S. (2009</w:t>
      </w:r>
      <w:r w:rsidRPr="00465C5A">
        <w:rPr>
          <w:rFonts w:eastAsia="Calibri" w:cs="Arial"/>
          <w:sz w:val="22"/>
          <w:szCs w:val="22"/>
          <w:lang w:val="en-US"/>
        </w:rPr>
        <w:t>)</w:t>
      </w:r>
      <w:r w:rsidRPr="00465C5A">
        <w:rPr>
          <w:rFonts w:eastAsia="Calibri" w:cs="Arial"/>
          <w:bCs/>
          <w:i/>
          <w:sz w:val="22"/>
          <w:szCs w:val="22"/>
          <w:lang w:val="en-US"/>
        </w:rPr>
        <w:t xml:space="preserve"> Managerial Judgement and Strategic Investment Decisions</w:t>
      </w:r>
      <w:r w:rsidRPr="00465C5A">
        <w:rPr>
          <w:rFonts w:eastAsia="Calibri" w:cs="Arial"/>
          <w:sz w:val="22"/>
          <w:szCs w:val="22"/>
          <w:lang w:val="en-US"/>
        </w:rPr>
        <w:t>. Oxford: Elsevier.</w:t>
      </w:r>
    </w:p>
    <w:p w14:paraId="3C40AFFC" w14:textId="77777777" w:rsidR="007B7B64" w:rsidRPr="00465C5A" w:rsidRDefault="007B7B64" w:rsidP="007B7B64">
      <w:pPr>
        <w:widowControl w:val="0"/>
        <w:spacing w:before="120" w:after="120"/>
        <w:rPr>
          <w:rFonts w:eastAsia="Calibri" w:cs="Arial"/>
          <w:sz w:val="22"/>
          <w:szCs w:val="22"/>
        </w:rPr>
      </w:pPr>
      <w:r w:rsidRPr="00465C5A">
        <w:rPr>
          <w:rFonts w:eastAsia="Calibri" w:cs="Arial"/>
          <w:b/>
          <w:sz w:val="22"/>
          <w:szCs w:val="22"/>
          <w:lang w:val="en-US"/>
        </w:rPr>
        <w:t>Harris, E. &amp; El-</w:t>
      </w:r>
      <w:proofErr w:type="spellStart"/>
      <w:r w:rsidRPr="00465C5A">
        <w:rPr>
          <w:rFonts w:eastAsia="Calibri" w:cs="Arial"/>
          <w:b/>
          <w:sz w:val="22"/>
          <w:szCs w:val="22"/>
          <w:lang w:val="en-US"/>
        </w:rPr>
        <w:t>Massri</w:t>
      </w:r>
      <w:proofErr w:type="spellEnd"/>
      <w:r w:rsidRPr="00465C5A">
        <w:rPr>
          <w:rFonts w:eastAsia="Calibri" w:cs="Arial"/>
          <w:b/>
          <w:sz w:val="22"/>
          <w:szCs w:val="22"/>
          <w:lang w:val="en-US"/>
        </w:rPr>
        <w:t>, M. (2011)</w:t>
      </w:r>
      <w:r w:rsidRPr="00465C5A">
        <w:rPr>
          <w:rFonts w:eastAsia="Calibri" w:cs="Arial"/>
          <w:sz w:val="22"/>
          <w:szCs w:val="22"/>
          <w:lang w:val="en-US"/>
        </w:rPr>
        <w:t xml:space="preserve"> Capital investment appraisal. </w:t>
      </w:r>
      <w:r w:rsidRPr="00465C5A">
        <w:rPr>
          <w:rFonts w:eastAsia="Calibri" w:cs="Arial"/>
          <w:sz w:val="22"/>
          <w:szCs w:val="22"/>
          <w:lang w:val="de-DE"/>
        </w:rPr>
        <w:t xml:space="preserve">In: Abdel-Kader, M. (ed.) </w:t>
      </w:r>
      <w:r w:rsidRPr="00465C5A">
        <w:rPr>
          <w:rFonts w:eastAsia="Calibri" w:cs="Arial"/>
          <w:i/>
          <w:sz w:val="22"/>
          <w:szCs w:val="22"/>
          <w:lang w:val="en-US"/>
        </w:rPr>
        <w:t>Review of Management Accounting Research</w:t>
      </w:r>
      <w:r w:rsidRPr="00465C5A">
        <w:rPr>
          <w:rFonts w:eastAsia="Calibri" w:cs="Arial"/>
          <w:b/>
          <w:sz w:val="22"/>
          <w:szCs w:val="22"/>
          <w:lang w:val="en-US"/>
        </w:rPr>
        <w:t xml:space="preserve">. </w:t>
      </w:r>
      <w:r w:rsidRPr="00465C5A">
        <w:rPr>
          <w:rFonts w:eastAsia="Calibri" w:cs="Arial"/>
          <w:sz w:val="22"/>
          <w:szCs w:val="22"/>
          <w:lang w:val="en-US"/>
        </w:rPr>
        <w:t>London: Palgrave. pp. 343–377.</w:t>
      </w:r>
    </w:p>
    <w:p w14:paraId="18AC2AD8" w14:textId="77777777" w:rsidR="007B7B64" w:rsidRPr="00465C5A" w:rsidRDefault="007B7B64" w:rsidP="007B7B64">
      <w:pPr>
        <w:widowControl w:val="0"/>
        <w:spacing w:before="120" w:after="120"/>
        <w:jc w:val="both"/>
        <w:rPr>
          <w:rFonts w:eastAsia="Calibri" w:cs="Arial"/>
          <w:color w:val="212121"/>
          <w:sz w:val="22"/>
          <w:szCs w:val="22"/>
          <w:lang w:val="en-US"/>
        </w:rPr>
      </w:pPr>
      <w:r w:rsidRPr="00465C5A">
        <w:rPr>
          <w:rFonts w:eastAsia="Calibri" w:cs="Arial"/>
          <w:b/>
          <w:color w:val="000000"/>
          <w:sz w:val="22"/>
          <w:szCs w:val="22"/>
          <w:lang w:val="en-US"/>
        </w:rPr>
        <w:t xml:space="preserve">Harris, E.P., Northcott, D., Elmassri, M.M., &amp; </w:t>
      </w:r>
      <w:proofErr w:type="spellStart"/>
      <w:r w:rsidRPr="00465C5A">
        <w:rPr>
          <w:rFonts w:eastAsia="Calibri" w:cs="Arial"/>
          <w:b/>
          <w:color w:val="000000"/>
          <w:sz w:val="22"/>
          <w:szCs w:val="22"/>
          <w:lang w:val="en-US"/>
        </w:rPr>
        <w:t>Huikku</w:t>
      </w:r>
      <w:proofErr w:type="spellEnd"/>
      <w:r w:rsidRPr="00465C5A">
        <w:rPr>
          <w:rFonts w:eastAsia="Calibri" w:cs="Arial"/>
          <w:b/>
          <w:color w:val="000000"/>
          <w:sz w:val="22"/>
          <w:szCs w:val="22"/>
          <w:lang w:val="en-US"/>
        </w:rPr>
        <w:t>, J. (2016)</w:t>
      </w:r>
      <w:r w:rsidRPr="00465C5A">
        <w:rPr>
          <w:rFonts w:eastAsia="Calibri" w:cs="Arial"/>
          <w:color w:val="000000"/>
          <w:sz w:val="22"/>
          <w:szCs w:val="22"/>
          <w:lang w:val="en-US"/>
        </w:rPr>
        <w:t xml:space="preserve"> </w:t>
      </w:r>
      <w:proofErr w:type="spellStart"/>
      <w:r w:rsidRPr="00465C5A">
        <w:rPr>
          <w:rFonts w:eastAsia="Calibri" w:cs="Arial"/>
          <w:color w:val="000000"/>
          <w:sz w:val="22"/>
          <w:szCs w:val="22"/>
          <w:lang w:val="en-US"/>
        </w:rPr>
        <w:t>Theorising</w:t>
      </w:r>
      <w:proofErr w:type="spellEnd"/>
      <w:r w:rsidRPr="00465C5A">
        <w:rPr>
          <w:rFonts w:eastAsia="Calibri" w:cs="Arial"/>
          <w:color w:val="000000"/>
          <w:sz w:val="22"/>
          <w:szCs w:val="22"/>
          <w:lang w:val="en-US"/>
        </w:rPr>
        <w:t xml:space="preserve"> strategic investment decision-making using strong structuration theory. </w:t>
      </w:r>
      <w:r w:rsidRPr="00465C5A">
        <w:rPr>
          <w:rFonts w:eastAsia="Calibri" w:cs="Arial"/>
          <w:i/>
          <w:iCs/>
          <w:color w:val="000000"/>
          <w:sz w:val="22"/>
          <w:szCs w:val="22"/>
          <w:lang w:val="en-US"/>
        </w:rPr>
        <w:t>Accounting, Auditing &amp; Accountability Journal</w:t>
      </w:r>
      <w:r w:rsidRPr="00465C5A">
        <w:rPr>
          <w:rFonts w:eastAsia="Calibri" w:cs="Arial"/>
          <w:color w:val="000000"/>
          <w:sz w:val="22"/>
          <w:szCs w:val="22"/>
          <w:lang w:val="en-US"/>
        </w:rPr>
        <w:t xml:space="preserve"> 29(7) pp. 1177</w:t>
      </w:r>
      <w:r w:rsidRPr="00465C5A">
        <w:rPr>
          <w:rFonts w:eastAsia="Calibri" w:cs="Arial"/>
          <w:sz w:val="22"/>
          <w:szCs w:val="22"/>
          <w:lang w:val="en-US"/>
        </w:rPr>
        <w:t>–</w:t>
      </w:r>
      <w:r w:rsidRPr="00465C5A">
        <w:rPr>
          <w:rFonts w:eastAsia="Calibri" w:cs="Arial"/>
          <w:color w:val="000000"/>
          <w:sz w:val="22"/>
          <w:szCs w:val="22"/>
          <w:lang w:val="en-US"/>
        </w:rPr>
        <w:t>1203.</w:t>
      </w:r>
    </w:p>
    <w:p w14:paraId="1FF46136" w14:textId="77777777" w:rsidR="007B7B64" w:rsidRPr="00465C5A" w:rsidRDefault="007B7B64" w:rsidP="007B7B64">
      <w:pPr>
        <w:widowControl w:val="0"/>
        <w:spacing w:before="120" w:after="120"/>
        <w:rPr>
          <w:rFonts w:eastAsia="Calibri" w:cs="Arial"/>
          <w:sz w:val="22"/>
          <w:szCs w:val="22"/>
        </w:rPr>
      </w:pPr>
      <w:r w:rsidRPr="00465C5A">
        <w:rPr>
          <w:rFonts w:eastAsiaTheme="minorEastAsia" w:cs="Arial"/>
          <w:b/>
          <w:sz w:val="22"/>
          <w:szCs w:val="22"/>
        </w:rPr>
        <w:t>Institute of Chartered Accountants in England and Wales (2009)</w:t>
      </w:r>
      <w:r w:rsidRPr="00465C5A" w:rsidDel="007D4CC7">
        <w:rPr>
          <w:rFonts w:eastAsiaTheme="minorEastAsia" w:cs="Arial"/>
          <w:b/>
          <w:sz w:val="22"/>
          <w:szCs w:val="22"/>
        </w:rPr>
        <w:t>,</w:t>
      </w:r>
      <w:r w:rsidRPr="00465C5A">
        <w:rPr>
          <w:rFonts w:eastAsiaTheme="minorEastAsia" w:cs="Arial"/>
          <w:sz w:val="22"/>
          <w:szCs w:val="22"/>
        </w:rPr>
        <w:t xml:space="preserve"> </w:t>
      </w:r>
      <w:r w:rsidRPr="00465C5A">
        <w:rPr>
          <w:rFonts w:eastAsiaTheme="minorEastAsia" w:cs="Arial"/>
          <w:i/>
          <w:iCs/>
          <w:sz w:val="22"/>
          <w:szCs w:val="22"/>
        </w:rPr>
        <w:t xml:space="preserve">Investment Appraisal, Finance and Management special report. </w:t>
      </w:r>
      <w:r w:rsidRPr="00465C5A">
        <w:rPr>
          <w:rFonts w:eastAsiaTheme="minorEastAsia" w:cs="Arial"/>
          <w:iCs/>
          <w:sz w:val="22"/>
          <w:szCs w:val="22"/>
        </w:rPr>
        <w:t>SR27.</w:t>
      </w:r>
      <w:r w:rsidRPr="00465C5A" w:rsidDel="007D4CC7">
        <w:rPr>
          <w:rFonts w:eastAsiaTheme="minorEastAsia" w:cs="Arial"/>
          <w:iCs/>
          <w:sz w:val="22"/>
          <w:szCs w:val="22"/>
        </w:rPr>
        <w:t>,</w:t>
      </w:r>
      <w:r w:rsidRPr="00465C5A">
        <w:rPr>
          <w:rFonts w:eastAsiaTheme="minorEastAsia" w:cs="Arial"/>
          <w:iCs/>
          <w:sz w:val="22"/>
          <w:szCs w:val="22"/>
        </w:rPr>
        <w:t xml:space="preserve"> London: ICAEW.</w:t>
      </w:r>
    </w:p>
    <w:p w14:paraId="7D4205B1" w14:textId="77777777" w:rsidR="007B7B64" w:rsidRDefault="007B7B64" w:rsidP="007B7B64">
      <w:pPr>
        <w:spacing w:before="120" w:after="120"/>
        <w:rPr>
          <w:rFonts w:eastAsia="Calibri" w:cs="Arial"/>
          <w:b/>
          <w:szCs w:val="24"/>
        </w:rPr>
      </w:pPr>
    </w:p>
    <w:p w14:paraId="68E15687" w14:textId="77777777" w:rsidR="007B7B64" w:rsidRPr="00A06E0C" w:rsidRDefault="007B7B64" w:rsidP="007B7B64">
      <w:pPr>
        <w:spacing w:before="120" w:after="120"/>
        <w:rPr>
          <w:rFonts w:eastAsia="Calibri" w:cs="Arial"/>
          <w:b/>
          <w:szCs w:val="24"/>
        </w:rPr>
      </w:pPr>
      <w:r w:rsidRPr="00A06E0C">
        <w:rPr>
          <w:rFonts w:eastAsia="Calibri" w:cs="Arial"/>
          <w:b/>
          <w:szCs w:val="24"/>
        </w:rPr>
        <w:t>Recommended Reading</w:t>
      </w:r>
      <w:r>
        <w:rPr>
          <w:rFonts w:eastAsia="Calibri" w:cs="Arial"/>
          <w:b/>
          <w:szCs w:val="24"/>
        </w:rPr>
        <w:br/>
      </w:r>
    </w:p>
    <w:p w14:paraId="27C1635E" w14:textId="77777777" w:rsidR="007B7B64" w:rsidRPr="00465C5A" w:rsidRDefault="007B7B64" w:rsidP="007B7B64">
      <w:pPr>
        <w:widowControl w:val="0"/>
        <w:spacing w:before="120" w:after="120"/>
        <w:rPr>
          <w:rFonts w:eastAsia="Calibri" w:cs="Arial"/>
          <w:sz w:val="22"/>
          <w:szCs w:val="22"/>
        </w:rPr>
      </w:pPr>
      <w:r w:rsidRPr="00465C5A">
        <w:rPr>
          <w:rFonts w:eastAsia="Calibri" w:cs="Arial"/>
          <w:b/>
          <w:color w:val="000000"/>
          <w:sz w:val="22"/>
          <w:szCs w:val="22"/>
          <w:lang w:val="en-US"/>
        </w:rPr>
        <w:t>Bebbington, J. (2007)</w:t>
      </w:r>
      <w:r w:rsidRPr="00465C5A">
        <w:rPr>
          <w:rFonts w:eastAsia="Calibri" w:cs="Arial"/>
          <w:color w:val="000000"/>
          <w:sz w:val="22"/>
          <w:szCs w:val="22"/>
          <w:lang w:val="en-US"/>
        </w:rPr>
        <w:t xml:space="preserve"> </w:t>
      </w:r>
      <w:r w:rsidRPr="00465C5A">
        <w:rPr>
          <w:rFonts w:eastAsia="Calibri" w:cs="Arial"/>
          <w:i/>
          <w:color w:val="000000"/>
          <w:sz w:val="22"/>
          <w:szCs w:val="22"/>
          <w:lang w:val="en-US"/>
        </w:rPr>
        <w:t>Accounting for Sustainable Development Performance</w:t>
      </w:r>
      <w:r w:rsidRPr="00465C5A">
        <w:rPr>
          <w:rFonts w:eastAsia="Calibri" w:cs="Arial"/>
          <w:color w:val="000000"/>
          <w:sz w:val="22"/>
          <w:szCs w:val="22"/>
          <w:lang w:val="en-US"/>
        </w:rPr>
        <w:t>. Oxford:  Elsevier.</w:t>
      </w:r>
    </w:p>
    <w:p w14:paraId="410DDD52" w14:textId="77777777" w:rsidR="007B7B64" w:rsidRPr="00465C5A" w:rsidRDefault="007B7B64" w:rsidP="007B7B64">
      <w:pPr>
        <w:widowControl w:val="0"/>
        <w:autoSpaceDE w:val="0"/>
        <w:autoSpaceDN w:val="0"/>
        <w:adjustRightInd w:val="0"/>
        <w:spacing w:before="120" w:after="120" w:line="276" w:lineRule="auto"/>
        <w:rPr>
          <w:rFonts w:eastAsia="Calibri" w:cs="Arial"/>
          <w:sz w:val="22"/>
          <w:szCs w:val="22"/>
          <w:lang w:val="en-US"/>
        </w:rPr>
      </w:pPr>
      <w:r w:rsidRPr="00465C5A">
        <w:rPr>
          <w:rFonts w:eastAsia="Calibri" w:cs="Arial"/>
          <w:b/>
          <w:sz w:val="22"/>
          <w:szCs w:val="22"/>
          <w:lang w:val="en-US"/>
        </w:rPr>
        <w:t>Thomas, M.P. &amp; McElroy, M.W. (2016)</w:t>
      </w:r>
      <w:r w:rsidRPr="00465C5A">
        <w:rPr>
          <w:rFonts w:eastAsia="Calibri" w:cs="Arial"/>
          <w:sz w:val="22"/>
          <w:szCs w:val="22"/>
          <w:lang w:val="en-US"/>
        </w:rPr>
        <w:t xml:space="preserve"> </w:t>
      </w:r>
      <w:r w:rsidRPr="00465C5A">
        <w:rPr>
          <w:rFonts w:eastAsia="Calibri" w:cs="Arial"/>
          <w:i/>
          <w:sz w:val="22"/>
          <w:szCs w:val="22"/>
          <w:lang w:val="en-US"/>
        </w:rPr>
        <w:t xml:space="preserve">The </w:t>
      </w:r>
      <w:proofErr w:type="spellStart"/>
      <w:r w:rsidRPr="00465C5A">
        <w:rPr>
          <w:rFonts w:eastAsia="Calibri" w:cs="Arial"/>
          <w:i/>
          <w:sz w:val="22"/>
          <w:szCs w:val="22"/>
          <w:lang w:val="en-US"/>
        </w:rPr>
        <w:t>MultiCapital</w:t>
      </w:r>
      <w:proofErr w:type="spellEnd"/>
      <w:r w:rsidRPr="00465C5A">
        <w:rPr>
          <w:rFonts w:eastAsia="Calibri" w:cs="Arial"/>
          <w:i/>
          <w:sz w:val="22"/>
          <w:szCs w:val="22"/>
          <w:lang w:val="en-US"/>
        </w:rPr>
        <w:t xml:space="preserve"> Scorecard: Rethinking Organizational Performance</w:t>
      </w:r>
      <w:r w:rsidRPr="00465C5A">
        <w:rPr>
          <w:rFonts w:eastAsia="Calibri" w:cs="Arial"/>
          <w:sz w:val="22"/>
          <w:szCs w:val="22"/>
          <w:lang w:val="en-US"/>
        </w:rPr>
        <w:t>. Vermont: Chelsea Green Publishing.</w:t>
      </w:r>
    </w:p>
    <w:p w14:paraId="4BF07A44" w14:textId="77777777" w:rsidR="007B7B64" w:rsidRPr="00465C5A" w:rsidRDefault="007B7B64" w:rsidP="007B7B64">
      <w:pPr>
        <w:widowControl w:val="0"/>
        <w:autoSpaceDE w:val="0"/>
        <w:autoSpaceDN w:val="0"/>
        <w:adjustRightInd w:val="0"/>
        <w:spacing w:before="120" w:after="120"/>
        <w:jc w:val="both"/>
        <w:rPr>
          <w:rFonts w:eastAsia="Calibri" w:cs="Arial"/>
          <w:sz w:val="22"/>
          <w:szCs w:val="22"/>
          <w:lang w:val="en-US"/>
        </w:rPr>
      </w:pPr>
      <w:r w:rsidRPr="00465C5A">
        <w:rPr>
          <w:rFonts w:eastAsia="Calibri" w:cs="Arial"/>
          <w:b/>
          <w:sz w:val="22"/>
          <w:szCs w:val="22"/>
          <w:lang w:val="en-US"/>
        </w:rPr>
        <w:t>Haka, S.F. (2007)</w:t>
      </w:r>
      <w:r w:rsidRPr="00465C5A">
        <w:rPr>
          <w:rFonts w:eastAsia="Calibri" w:cs="Arial"/>
          <w:sz w:val="22"/>
          <w:szCs w:val="22"/>
          <w:lang w:val="en-US"/>
        </w:rPr>
        <w:t xml:space="preserve"> A review of the literature on capital budgeting and investment appraisal: Past present and future musings. In: Chapman, C., Hopwood, A., &amp; Shields, M. (eds.)</w:t>
      </w:r>
      <w:r w:rsidRPr="00465C5A">
        <w:rPr>
          <w:rFonts w:eastAsia="Calibri" w:cs="Arial"/>
          <w:i/>
          <w:sz w:val="22"/>
          <w:szCs w:val="22"/>
          <w:lang w:val="en-US"/>
        </w:rPr>
        <w:t xml:space="preserve"> Handbook of Management Accounting Research</w:t>
      </w:r>
      <w:r w:rsidRPr="00465C5A">
        <w:rPr>
          <w:rFonts w:eastAsia="Calibri" w:cs="Arial"/>
          <w:sz w:val="22"/>
          <w:szCs w:val="22"/>
          <w:lang w:val="en-US"/>
        </w:rPr>
        <w:t>, Vol. 2. Amsterdam: Elsevier. pp. 697–728.</w:t>
      </w:r>
    </w:p>
    <w:p w14:paraId="638F569F" w14:textId="77777777" w:rsidR="007B7B64" w:rsidRPr="00465C5A" w:rsidRDefault="007B7B64" w:rsidP="007B7B64">
      <w:pPr>
        <w:widowControl w:val="0"/>
        <w:spacing w:before="120" w:after="120"/>
        <w:rPr>
          <w:rFonts w:eastAsia="Calibri" w:cs="Arial"/>
          <w:sz w:val="22"/>
          <w:szCs w:val="22"/>
        </w:rPr>
      </w:pPr>
      <w:r w:rsidRPr="00465C5A">
        <w:rPr>
          <w:rFonts w:eastAsia="Calibri" w:cs="Arial"/>
          <w:b/>
          <w:sz w:val="22"/>
          <w:szCs w:val="22"/>
          <w:lang w:val="en-US" w:bidi="en-US"/>
        </w:rPr>
        <w:t>Harris, E (2014)</w:t>
      </w:r>
      <w:r w:rsidRPr="00465C5A">
        <w:rPr>
          <w:rFonts w:eastAsia="Calibri" w:cs="Arial"/>
          <w:sz w:val="22"/>
          <w:szCs w:val="22"/>
          <w:lang w:val="en-US" w:bidi="en-US"/>
        </w:rPr>
        <w:t xml:space="preserve"> Feel the risk: Strategic investment decisions in an uncertain world. In:  </w:t>
      </w:r>
      <w:proofErr w:type="spellStart"/>
      <w:r w:rsidRPr="00465C5A">
        <w:rPr>
          <w:rFonts w:eastAsia="Calibri" w:cs="Arial"/>
          <w:sz w:val="22"/>
          <w:szCs w:val="22"/>
          <w:lang w:val="en-US" w:bidi="en-US"/>
        </w:rPr>
        <w:t>Otley</w:t>
      </w:r>
      <w:proofErr w:type="spellEnd"/>
      <w:r w:rsidRPr="00465C5A">
        <w:rPr>
          <w:rFonts w:eastAsia="Calibri" w:cs="Arial"/>
          <w:sz w:val="22"/>
          <w:szCs w:val="22"/>
          <w:lang w:val="en-US" w:bidi="en-US"/>
        </w:rPr>
        <w:t xml:space="preserve">, D. &amp; </w:t>
      </w:r>
      <w:proofErr w:type="spellStart"/>
      <w:r w:rsidRPr="00465C5A">
        <w:rPr>
          <w:rFonts w:eastAsia="Calibri" w:cs="Arial"/>
          <w:sz w:val="22"/>
          <w:szCs w:val="22"/>
          <w:lang w:val="en-US" w:bidi="en-US"/>
        </w:rPr>
        <w:t>Soin</w:t>
      </w:r>
      <w:proofErr w:type="spellEnd"/>
      <w:r w:rsidRPr="00465C5A">
        <w:rPr>
          <w:rFonts w:eastAsia="Calibri" w:cs="Arial"/>
          <w:sz w:val="22"/>
          <w:szCs w:val="22"/>
          <w:lang w:val="en-US" w:bidi="en-US"/>
        </w:rPr>
        <w:t xml:space="preserve">, K. (eds) </w:t>
      </w:r>
      <w:r w:rsidRPr="00465C5A">
        <w:rPr>
          <w:rFonts w:eastAsia="Calibri" w:cs="Arial"/>
          <w:i/>
          <w:sz w:val="22"/>
          <w:szCs w:val="22"/>
          <w:lang w:val="en-US"/>
        </w:rPr>
        <w:t>Management Control and Uncertainty</w:t>
      </w:r>
      <w:r w:rsidRPr="00465C5A">
        <w:rPr>
          <w:rFonts w:eastAsia="Calibri" w:cs="Arial"/>
          <w:sz w:val="22"/>
          <w:szCs w:val="22"/>
          <w:lang w:val="en-US"/>
        </w:rPr>
        <w:t xml:space="preserve">. </w:t>
      </w:r>
      <w:r w:rsidRPr="00465C5A">
        <w:rPr>
          <w:rFonts w:eastAsia="Calibri" w:cs="Arial"/>
          <w:sz w:val="22"/>
          <w:szCs w:val="22"/>
          <w:lang w:val="en-US" w:bidi="en-US"/>
        </w:rPr>
        <w:t>Basingstoke</w:t>
      </w:r>
      <w:r w:rsidRPr="00465C5A">
        <w:rPr>
          <w:rFonts w:eastAsia="Calibri" w:cs="Arial"/>
          <w:sz w:val="22"/>
          <w:szCs w:val="22"/>
          <w:lang w:val="en-US"/>
        </w:rPr>
        <w:t>: Palgrave Macmillan. pp. 162–177.</w:t>
      </w:r>
    </w:p>
    <w:p w14:paraId="0CFAFC63" w14:textId="77777777" w:rsidR="007B7B64" w:rsidRPr="00465C5A" w:rsidRDefault="007B7B64" w:rsidP="007B7B64">
      <w:pPr>
        <w:widowControl w:val="0"/>
        <w:spacing w:before="120" w:after="120"/>
        <w:rPr>
          <w:rFonts w:eastAsia="Calibri" w:cs="Arial"/>
          <w:sz w:val="22"/>
          <w:szCs w:val="22"/>
        </w:rPr>
      </w:pPr>
      <w:r w:rsidRPr="00465C5A">
        <w:rPr>
          <w:rFonts w:eastAsiaTheme="minorEastAsia" w:cs="Arial"/>
          <w:b/>
          <w:sz w:val="22"/>
          <w:szCs w:val="22"/>
        </w:rPr>
        <w:lastRenderedPageBreak/>
        <w:t>Harris, E. (2011).</w:t>
      </w:r>
      <w:r w:rsidRPr="00465C5A">
        <w:rPr>
          <w:rFonts w:eastAsiaTheme="minorEastAsia" w:cs="Arial"/>
          <w:sz w:val="22"/>
          <w:szCs w:val="22"/>
        </w:rPr>
        <w:t xml:space="preserve"> </w:t>
      </w:r>
      <w:r w:rsidRPr="00465C5A">
        <w:rPr>
          <w:rFonts w:eastAsiaTheme="minorEastAsia" w:cs="Arial"/>
          <w:i/>
          <w:iCs/>
          <w:sz w:val="22"/>
          <w:szCs w:val="22"/>
        </w:rPr>
        <w:t>Project Management: Finance &amp; Management special report.</w:t>
      </w:r>
      <w:r w:rsidRPr="00465C5A">
        <w:rPr>
          <w:rFonts w:eastAsiaTheme="minorEastAsia" w:cs="Arial"/>
          <w:iCs/>
          <w:sz w:val="22"/>
          <w:szCs w:val="22"/>
        </w:rPr>
        <w:t xml:space="preserve"> SR33</w:t>
      </w:r>
      <w:r w:rsidRPr="00465C5A">
        <w:rPr>
          <w:rFonts w:eastAsiaTheme="minorEastAsia" w:cs="Arial"/>
          <w:sz w:val="22"/>
          <w:szCs w:val="22"/>
        </w:rPr>
        <w:t>, ICAEW.</w:t>
      </w:r>
    </w:p>
    <w:p w14:paraId="69D85307" w14:textId="77777777" w:rsidR="007B7B64" w:rsidRPr="00A06E0C" w:rsidRDefault="007B7B64" w:rsidP="007B7B64">
      <w:pPr>
        <w:spacing w:before="120" w:after="120"/>
        <w:rPr>
          <w:rFonts w:eastAsia="Calibri" w:cs="Arial"/>
          <w:b/>
          <w:szCs w:val="24"/>
        </w:rPr>
      </w:pPr>
      <w:r w:rsidRPr="00A06E0C">
        <w:rPr>
          <w:rFonts w:eastAsia="Calibri" w:cs="Arial"/>
          <w:b/>
          <w:szCs w:val="24"/>
        </w:rPr>
        <w:t>Further reading</w:t>
      </w:r>
      <w:r>
        <w:rPr>
          <w:rFonts w:eastAsia="Calibri" w:cs="Arial"/>
          <w:b/>
          <w:szCs w:val="24"/>
        </w:rPr>
        <w:br/>
      </w:r>
    </w:p>
    <w:p w14:paraId="2AF61015" w14:textId="77777777" w:rsidR="007B7B64" w:rsidRPr="00465C5A" w:rsidRDefault="007B7B64" w:rsidP="007B7B64">
      <w:pPr>
        <w:widowControl w:val="0"/>
        <w:spacing w:before="120" w:after="120" w:line="276" w:lineRule="auto"/>
        <w:rPr>
          <w:rFonts w:cs="Arial"/>
          <w:sz w:val="22"/>
          <w:szCs w:val="22"/>
          <w:lang w:val="en-US"/>
        </w:rPr>
      </w:pPr>
      <w:proofErr w:type="spellStart"/>
      <w:r w:rsidRPr="00465C5A">
        <w:rPr>
          <w:rFonts w:cs="Arial"/>
          <w:b/>
          <w:sz w:val="22"/>
          <w:szCs w:val="22"/>
          <w:lang w:val="en-US"/>
        </w:rPr>
        <w:t>Busco</w:t>
      </w:r>
      <w:proofErr w:type="spellEnd"/>
      <w:r w:rsidRPr="00465C5A">
        <w:rPr>
          <w:rFonts w:cs="Arial"/>
          <w:b/>
          <w:sz w:val="22"/>
          <w:szCs w:val="22"/>
          <w:lang w:val="en-US"/>
        </w:rPr>
        <w:t xml:space="preserve">, C., </w:t>
      </w:r>
      <w:proofErr w:type="spellStart"/>
      <w:r w:rsidRPr="00465C5A">
        <w:rPr>
          <w:rFonts w:cs="Arial"/>
          <w:b/>
          <w:sz w:val="22"/>
          <w:szCs w:val="22"/>
          <w:lang w:val="en-US"/>
        </w:rPr>
        <w:t>Frigo</w:t>
      </w:r>
      <w:proofErr w:type="spellEnd"/>
      <w:r w:rsidRPr="00465C5A">
        <w:rPr>
          <w:rFonts w:cs="Arial"/>
          <w:b/>
          <w:sz w:val="22"/>
          <w:szCs w:val="22"/>
          <w:lang w:val="en-US"/>
        </w:rPr>
        <w:t xml:space="preserve">, M.L., </w:t>
      </w:r>
      <w:proofErr w:type="spellStart"/>
      <w:r w:rsidRPr="00465C5A">
        <w:rPr>
          <w:rFonts w:cs="Arial"/>
          <w:b/>
          <w:sz w:val="22"/>
          <w:szCs w:val="22"/>
          <w:lang w:val="en-US"/>
        </w:rPr>
        <w:t>Quattrone</w:t>
      </w:r>
      <w:proofErr w:type="spellEnd"/>
      <w:r w:rsidRPr="00465C5A">
        <w:rPr>
          <w:rFonts w:cs="Arial"/>
          <w:b/>
          <w:sz w:val="22"/>
          <w:szCs w:val="22"/>
          <w:lang w:val="en-US"/>
        </w:rPr>
        <w:t xml:space="preserve">, P., &amp; </w:t>
      </w:r>
      <w:proofErr w:type="spellStart"/>
      <w:r w:rsidRPr="00465C5A">
        <w:rPr>
          <w:rFonts w:cs="Arial"/>
          <w:b/>
          <w:sz w:val="22"/>
          <w:szCs w:val="22"/>
          <w:lang w:val="en-US"/>
        </w:rPr>
        <w:t>Riccaboni</w:t>
      </w:r>
      <w:proofErr w:type="spellEnd"/>
      <w:r w:rsidRPr="00465C5A">
        <w:rPr>
          <w:rFonts w:cs="Arial"/>
          <w:b/>
          <w:sz w:val="22"/>
          <w:szCs w:val="22"/>
          <w:lang w:val="en-US"/>
        </w:rPr>
        <w:t>, A. (2013)</w:t>
      </w:r>
      <w:r w:rsidRPr="00465C5A">
        <w:rPr>
          <w:rFonts w:cs="Arial"/>
          <w:sz w:val="22"/>
          <w:szCs w:val="22"/>
          <w:lang w:val="en-US"/>
        </w:rPr>
        <w:t xml:space="preserve"> </w:t>
      </w:r>
      <w:r w:rsidRPr="00465C5A">
        <w:rPr>
          <w:rFonts w:cs="Arial"/>
          <w:i/>
          <w:sz w:val="22"/>
          <w:szCs w:val="22"/>
          <w:lang w:val="en-US"/>
        </w:rPr>
        <w:t xml:space="preserve">Integrated reporting: </w:t>
      </w:r>
      <w:r w:rsidRPr="00465C5A">
        <w:rPr>
          <w:rFonts w:cs="Arial"/>
          <w:i/>
          <w:iCs/>
          <w:sz w:val="22"/>
          <w:szCs w:val="22"/>
          <w:lang w:val="en-US"/>
        </w:rPr>
        <w:t>Concepts and Cases that Redefine Corporate</w:t>
      </w:r>
      <w:r w:rsidRPr="00465C5A">
        <w:rPr>
          <w:rFonts w:cs="Arial"/>
          <w:i/>
          <w:sz w:val="22"/>
          <w:szCs w:val="22"/>
          <w:lang w:val="en-US"/>
        </w:rPr>
        <w:t xml:space="preserve"> Accountability</w:t>
      </w:r>
      <w:r w:rsidRPr="00465C5A">
        <w:rPr>
          <w:rFonts w:cs="Arial"/>
          <w:sz w:val="22"/>
          <w:szCs w:val="22"/>
          <w:lang w:val="en-US"/>
        </w:rPr>
        <w:t>. Switzerland: Springer.</w:t>
      </w:r>
    </w:p>
    <w:p w14:paraId="3CD3B59E" w14:textId="77777777" w:rsidR="007B7B64" w:rsidRPr="00465C5A" w:rsidRDefault="007B7B64" w:rsidP="007B7B64">
      <w:pPr>
        <w:widowControl w:val="0"/>
        <w:spacing w:before="120" w:after="120"/>
        <w:rPr>
          <w:rFonts w:eastAsia="Calibri" w:cs="Arial"/>
          <w:sz w:val="22"/>
          <w:szCs w:val="22"/>
        </w:rPr>
      </w:pPr>
      <w:r w:rsidRPr="00465C5A">
        <w:rPr>
          <w:rFonts w:eastAsia="Calibri" w:cs="Arial"/>
          <w:b/>
          <w:sz w:val="22"/>
          <w:szCs w:val="22"/>
          <w:lang w:val="en-US"/>
        </w:rPr>
        <w:t>Harris, E. (2007)</w:t>
      </w:r>
      <w:r w:rsidRPr="00465C5A">
        <w:rPr>
          <w:rFonts w:eastAsia="Calibri" w:cs="Arial"/>
          <w:sz w:val="22"/>
          <w:szCs w:val="22"/>
          <w:lang w:val="en-US"/>
        </w:rPr>
        <w:t xml:space="preserve"> How Managers Construe Risk in Business Acquisitions. </w:t>
      </w:r>
      <w:r w:rsidRPr="00465C5A">
        <w:rPr>
          <w:rFonts w:eastAsia="Calibri" w:cs="Arial"/>
          <w:i/>
          <w:sz w:val="22"/>
          <w:szCs w:val="22"/>
          <w:lang w:val="en-US"/>
        </w:rPr>
        <w:t>International Journal of Risk Assessment and Management</w:t>
      </w:r>
      <w:r w:rsidRPr="00465C5A">
        <w:rPr>
          <w:rFonts w:eastAsia="Calibri" w:cs="Arial"/>
          <w:sz w:val="22"/>
          <w:szCs w:val="22"/>
          <w:lang w:val="en-US"/>
        </w:rPr>
        <w:t xml:space="preserve"> 7(8) pp. 1057–1073.</w:t>
      </w:r>
    </w:p>
    <w:p w14:paraId="20EB4CE3" w14:textId="77777777" w:rsidR="007B7B64" w:rsidRPr="00465C5A" w:rsidRDefault="007B7B64" w:rsidP="007B7B64">
      <w:pPr>
        <w:widowControl w:val="0"/>
        <w:spacing w:before="120" w:after="120"/>
        <w:rPr>
          <w:rFonts w:eastAsia="Calibri" w:cs="Arial"/>
          <w:sz w:val="22"/>
          <w:szCs w:val="22"/>
        </w:rPr>
      </w:pPr>
      <w:r w:rsidRPr="00465C5A">
        <w:rPr>
          <w:rFonts w:eastAsia="Calibri" w:cs="Arial"/>
          <w:b/>
          <w:sz w:val="22"/>
          <w:szCs w:val="22"/>
          <w:lang w:val="en-US"/>
        </w:rPr>
        <w:t>Harris, E. (2000)</w:t>
      </w:r>
      <w:r w:rsidRPr="00465C5A">
        <w:rPr>
          <w:rFonts w:eastAsia="Calibri" w:cs="Arial"/>
          <w:sz w:val="22"/>
          <w:szCs w:val="22"/>
          <w:lang w:val="en-US"/>
        </w:rPr>
        <w:t xml:space="preserve"> Strategic investment decision-making: Managerial judgement on project risk and return. </w:t>
      </w:r>
      <w:r w:rsidRPr="00465C5A">
        <w:rPr>
          <w:rFonts w:eastAsia="Calibri" w:cs="Arial"/>
          <w:i/>
          <w:sz w:val="22"/>
          <w:szCs w:val="22"/>
          <w:lang w:val="en-US"/>
        </w:rPr>
        <w:t>Journal of Applied Accounting Research</w:t>
      </w:r>
      <w:r w:rsidRPr="00465C5A">
        <w:rPr>
          <w:rFonts w:eastAsia="Calibri" w:cs="Arial"/>
          <w:sz w:val="22"/>
          <w:szCs w:val="22"/>
          <w:lang w:val="en-US"/>
        </w:rPr>
        <w:t xml:space="preserve"> 5(3) pp. 87–110.</w:t>
      </w:r>
    </w:p>
    <w:p w14:paraId="7DF155CF" w14:textId="77777777" w:rsidR="007B7B64" w:rsidRPr="002011D0" w:rsidRDefault="007B7B64" w:rsidP="007B7B64">
      <w:pPr>
        <w:jc w:val="both"/>
        <w:rPr>
          <w:rFonts w:cs="Arial"/>
        </w:rPr>
      </w:pPr>
      <w:r w:rsidRPr="00465C5A">
        <w:rPr>
          <w:rFonts w:eastAsia="Calibri" w:cs="Arial"/>
          <w:b/>
          <w:sz w:val="22"/>
          <w:szCs w:val="22"/>
          <w:lang w:val="en-US"/>
        </w:rPr>
        <w:t>Harris, E. (1999</w:t>
      </w:r>
      <w:r w:rsidRPr="00465C5A">
        <w:rPr>
          <w:rFonts w:eastAsia="Calibri" w:cs="Arial"/>
          <w:b/>
          <w:spacing w:val="-3"/>
          <w:sz w:val="22"/>
          <w:szCs w:val="22"/>
          <w:lang w:val="en-US"/>
        </w:rPr>
        <w:t>)</w:t>
      </w:r>
      <w:r w:rsidRPr="00465C5A">
        <w:rPr>
          <w:rFonts w:eastAsia="Calibri" w:cs="Arial"/>
          <w:spacing w:val="-3"/>
          <w:sz w:val="22"/>
          <w:szCs w:val="22"/>
          <w:lang w:val="en-US"/>
        </w:rPr>
        <w:t xml:space="preserve"> </w:t>
      </w:r>
      <w:r w:rsidRPr="00465C5A">
        <w:rPr>
          <w:rFonts w:eastAsia="Calibri" w:cs="Arial"/>
          <w:sz w:val="22"/>
          <w:szCs w:val="22"/>
          <w:lang w:val="en-US"/>
        </w:rPr>
        <w:t xml:space="preserve">Project risk assessment: A European Field Study. </w:t>
      </w:r>
      <w:r w:rsidRPr="00465C5A">
        <w:rPr>
          <w:rFonts w:eastAsia="Calibri" w:cs="Arial"/>
          <w:i/>
          <w:sz w:val="22"/>
          <w:szCs w:val="22"/>
          <w:lang w:val="en-US"/>
        </w:rPr>
        <w:t>British Accounting Review</w:t>
      </w:r>
      <w:r w:rsidRPr="00465C5A">
        <w:rPr>
          <w:rFonts w:eastAsia="Calibri" w:cs="Arial"/>
          <w:sz w:val="22"/>
          <w:szCs w:val="22"/>
          <w:lang w:val="en-US"/>
        </w:rPr>
        <w:t xml:space="preserve"> 31(3) pp. 347–371.</w:t>
      </w:r>
    </w:p>
    <w:p w14:paraId="2E75F2FE" w14:textId="77777777" w:rsidR="007B7B64" w:rsidRPr="00465C5A" w:rsidRDefault="007B7B64" w:rsidP="007B7B64">
      <w:pPr>
        <w:widowControl w:val="0"/>
        <w:spacing w:before="120" w:after="120"/>
        <w:jc w:val="both"/>
        <w:rPr>
          <w:rFonts w:eastAsia="Calibri" w:cs="Arial"/>
          <w:sz w:val="22"/>
          <w:szCs w:val="22"/>
          <w:lang w:val="en-US"/>
        </w:rPr>
      </w:pPr>
      <w:r w:rsidRPr="00465C5A">
        <w:rPr>
          <w:rFonts w:eastAsia="Calibri" w:cs="Arial"/>
          <w:b/>
          <w:sz w:val="22"/>
          <w:szCs w:val="22"/>
          <w:lang w:val="en-US"/>
        </w:rPr>
        <w:t>Harris, E., Hoang, T., &amp; Ngan, G. (2018)</w:t>
      </w:r>
      <w:r w:rsidRPr="00465C5A">
        <w:rPr>
          <w:rFonts w:eastAsia="Calibri" w:cs="Arial"/>
          <w:sz w:val="22"/>
          <w:szCs w:val="22"/>
          <w:lang w:val="en-US"/>
        </w:rPr>
        <w:t xml:space="preserve"> Accounting for capital investment appraisal: Time for a radical change? In: Quinn, M. &amp; Strauss, E. (eds.)</w:t>
      </w:r>
      <w:r w:rsidRPr="00465C5A">
        <w:rPr>
          <w:rFonts w:eastAsia="Calibri" w:cs="Arial"/>
          <w:i/>
          <w:sz w:val="22"/>
          <w:szCs w:val="22"/>
          <w:lang w:val="en-US"/>
        </w:rPr>
        <w:t xml:space="preserve"> Routledge Companion to Accounting Information Systems</w:t>
      </w:r>
      <w:r w:rsidRPr="00465C5A">
        <w:rPr>
          <w:rFonts w:eastAsia="Calibri" w:cs="Arial"/>
          <w:sz w:val="22"/>
          <w:szCs w:val="22"/>
          <w:lang w:val="en-US"/>
        </w:rPr>
        <w:t>. Abingdon: Routledge. pp.173–189.</w:t>
      </w:r>
    </w:p>
    <w:p w14:paraId="7DF7B96F" w14:textId="77777777" w:rsidR="007B7B64" w:rsidRPr="00465C5A" w:rsidRDefault="007B7B64" w:rsidP="007B7B64">
      <w:pPr>
        <w:rPr>
          <w:rFonts w:cs="Arial"/>
          <w:b/>
          <w:color w:val="006600"/>
          <w:sz w:val="22"/>
          <w:szCs w:val="22"/>
        </w:rPr>
      </w:pPr>
    </w:p>
    <w:p w14:paraId="2391DC40" w14:textId="77777777" w:rsidR="007B7B64" w:rsidRDefault="007B7B64" w:rsidP="007B7B64">
      <w:pPr>
        <w:rPr>
          <w:rFonts w:cs="Arial"/>
          <w:b/>
          <w:color w:val="006600"/>
          <w:sz w:val="26"/>
          <w:szCs w:val="26"/>
        </w:rPr>
      </w:pPr>
      <w:r w:rsidRPr="00EE4318">
        <w:rPr>
          <w:rFonts w:cs="Arial"/>
          <w:b/>
          <w:color w:val="006600"/>
          <w:sz w:val="26"/>
          <w:szCs w:val="26"/>
        </w:rPr>
        <w:t>How will your work be assessed?</w:t>
      </w:r>
    </w:p>
    <w:p w14:paraId="2DBB3FB8" w14:textId="77777777" w:rsidR="007B7B64" w:rsidRPr="00465C5A" w:rsidRDefault="007B7B64" w:rsidP="007B7B64">
      <w:pPr>
        <w:rPr>
          <w:rFonts w:cs="Arial"/>
          <w:b/>
          <w:color w:val="006600"/>
          <w:sz w:val="22"/>
          <w:szCs w:val="22"/>
        </w:rPr>
      </w:pPr>
    </w:p>
    <w:p w14:paraId="03883FBA" w14:textId="77777777" w:rsidR="007B7B64" w:rsidRDefault="007B7B64" w:rsidP="007B7B64">
      <w:pPr>
        <w:jc w:val="both"/>
        <w:rPr>
          <w:rFonts w:cs="Arial"/>
          <w:sz w:val="22"/>
          <w:szCs w:val="22"/>
        </w:rPr>
      </w:pPr>
      <w:r w:rsidRPr="008D291E">
        <w:rPr>
          <w:rFonts w:cs="Arial"/>
          <w:sz w:val="22"/>
          <w:szCs w:val="22"/>
        </w:rPr>
        <w:t xml:space="preserve">Your work will be assessed by a subject expert who will use </w:t>
      </w:r>
      <w:r>
        <w:rPr>
          <w:rFonts w:cs="Arial"/>
          <w:sz w:val="22"/>
          <w:szCs w:val="22"/>
        </w:rPr>
        <w:t xml:space="preserve">either </w:t>
      </w:r>
      <w:r w:rsidRPr="008D291E">
        <w:rPr>
          <w:rFonts w:cs="Arial"/>
          <w:sz w:val="22"/>
          <w:szCs w:val="22"/>
        </w:rPr>
        <w:t xml:space="preserve">the marking </w:t>
      </w:r>
      <w:r>
        <w:rPr>
          <w:rFonts w:cs="Arial"/>
          <w:sz w:val="22"/>
          <w:szCs w:val="22"/>
        </w:rPr>
        <w:t>criteria provided in the section “Instructions for assessment”</w:t>
      </w:r>
      <w:r w:rsidRPr="008D291E">
        <w:rPr>
          <w:rFonts w:cs="Arial"/>
          <w:sz w:val="22"/>
          <w:szCs w:val="22"/>
        </w:rPr>
        <w:t xml:space="preserve"> </w:t>
      </w:r>
      <w:r>
        <w:rPr>
          <w:rFonts w:cs="Arial"/>
          <w:sz w:val="22"/>
          <w:szCs w:val="22"/>
        </w:rPr>
        <w:t xml:space="preserve">or the Marking rubric enclosed in the Appendix, as appropriate for this module. </w:t>
      </w:r>
      <w:r w:rsidRPr="008D291E">
        <w:rPr>
          <w:rFonts w:cs="Arial"/>
          <w:sz w:val="22"/>
          <w:szCs w:val="22"/>
        </w:rPr>
        <w:t xml:space="preserve">When you access your marked </w:t>
      </w:r>
      <w:proofErr w:type="gramStart"/>
      <w:r w:rsidRPr="008D291E">
        <w:rPr>
          <w:rFonts w:cs="Arial"/>
          <w:sz w:val="22"/>
          <w:szCs w:val="22"/>
        </w:rPr>
        <w:t>work</w:t>
      </w:r>
      <w:proofErr w:type="gramEnd"/>
      <w:r w:rsidRPr="008D291E">
        <w:rPr>
          <w:rFonts w:cs="Arial"/>
          <w:sz w:val="22"/>
          <w:szCs w:val="22"/>
        </w:rPr>
        <w:t xml:space="preserve"> it is important that you reflect on the feedback so that you can use it to improve future assignments.</w:t>
      </w:r>
    </w:p>
    <w:p w14:paraId="1D0179CC" w14:textId="77777777" w:rsidR="007B7B64" w:rsidRDefault="007B7B64" w:rsidP="007B7B64">
      <w:pPr>
        <w:rPr>
          <w:rFonts w:cs="Arial"/>
          <w:b/>
          <w:color w:val="006600"/>
          <w:sz w:val="26"/>
          <w:szCs w:val="26"/>
        </w:rPr>
      </w:pPr>
    </w:p>
    <w:p w14:paraId="5CAA3590" w14:textId="77777777" w:rsidR="007B7B64" w:rsidRDefault="007B7B64" w:rsidP="007B7B64">
      <w:pPr>
        <w:rPr>
          <w:rFonts w:cs="Arial"/>
          <w:b/>
          <w:color w:val="006600"/>
          <w:sz w:val="26"/>
          <w:szCs w:val="26"/>
        </w:rPr>
      </w:pPr>
      <w:r w:rsidRPr="00EE4318">
        <w:rPr>
          <w:rFonts w:cs="Arial"/>
          <w:b/>
          <w:color w:val="006600"/>
          <w:sz w:val="26"/>
          <w:szCs w:val="26"/>
        </w:rPr>
        <w:t>Referencing</w:t>
      </w:r>
      <w:r>
        <w:rPr>
          <w:rFonts w:cs="Arial"/>
          <w:b/>
          <w:color w:val="006600"/>
          <w:sz w:val="26"/>
          <w:szCs w:val="26"/>
        </w:rPr>
        <w:t xml:space="preserve"> and submission</w:t>
      </w:r>
    </w:p>
    <w:p w14:paraId="08D5C6D5" w14:textId="77777777" w:rsidR="007B7B64" w:rsidRPr="003063A8" w:rsidRDefault="007B7B64" w:rsidP="007B7B64">
      <w:pPr>
        <w:rPr>
          <w:rFonts w:cs="Arial"/>
          <w:b/>
          <w:color w:val="006600"/>
          <w:sz w:val="16"/>
          <w:szCs w:val="16"/>
        </w:rPr>
      </w:pPr>
    </w:p>
    <w:p w14:paraId="0C3993FA" w14:textId="77777777" w:rsidR="007B7B64" w:rsidRDefault="007B7B64" w:rsidP="007B7B64">
      <w:pPr>
        <w:rPr>
          <w:rFonts w:cs="Arial"/>
          <w:sz w:val="22"/>
          <w:szCs w:val="22"/>
        </w:rPr>
      </w:pPr>
      <w:r w:rsidRPr="008D291E">
        <w:rPr>
          <w:rFonts w:cs="Arial"/>
          <w:sz w:val="22"/>
          <w:szCs w:val="22"/>
        </w:rPr>
        <w:t xml:space="preserve">You </w:t>
      </w:r>
      <w:r>
        <w:rPr>
          <w:rFonts w:cs="Arial"/>
          <w:sz w:val="22"/>
          <w:szCs w:val="22"/>
        </w:rPr>
        <w:t xml:space="preserve">must </w:t>
      </w:r>
      <w:r w:rsidRPr="008D291E">
        <w:rPr>
          <w:rFonts w:cs="Arial"/>
          <w:sz w:val="22"/>
          <w:szCs w:val="22"/>
        </w:rPr>
        <w:t xml:space="preserve">use the </w:t>
      </w:r>
      <w:r w:rsidRPr="008D291E">
        <w:rPr>
          <w:rFonts w:cs="Arial"/>
          <w:b/>
          <w:sz w:val="22"/>
          <w:szCs w:val="22"/>
        </w:rPr>
        <w:t>Harvard System</w:t>
      </w:r>
      <w:r w:rsidRPr="008D291E">
        <w:rPr>
          <w:rFonts w:cs="Arial"/>
          <w:sz w:val="22"/>
          <w:szCs w:val="22"/>
        </w:rPr>
        <w:t>.</w:t>
      </w:r>
    </w:p>
    <w:p w14:paraId="17EE92F2" w14:textId="77777777" w:rsidR="007B7B64" w:rsidRDefault="007B7B64" w:rsidP="007B7B64">
      <w:pPr>
        <w:rPr>
          <w:rFonts w:cs="Arial"/>
          <w:sz w:val="22"/>
          <w:szCs w:val="22"/>
        </w:rPr>
      </w:pPr>
    </w:p>
    <w:p w14:paraId="36881F70" w14:textId="77777777" w:rsidR="007B7B64" w:rsidRPr="008D291E" w:rsidRDefault="007B7B64" w:rsidP="007B7B64">
      <w:pPr>
        <w:jc w:val="both"/>
        <w:rPr>
          <w:rFonts w:cs="Arial"/>
          <w:sz w:val="22"/>
          <w:szCs w:val="22"/>
        </w:rPr>
      </w:pPr>
      <w:r w:rsidRPr="008D291E">
        <w:rPr>
          <w:rFonts w:cs="Arial"/>
          <w:sz w:val="22"/>
          <w:szCs w:val="22"/>
        </w:rPr>
        <w:t xml:space="preserve">The Business School requires a digital version </w:t>
      </w:r>
      <w:r>
        <w:rPr>
          <w:rFonts w:cs="Arial"/>
          <w:sz w:val="22"/>
          <w:szCs w:val="22"/>
        </w:rPr>
        <w:t xml:space="preserve">of all assignment submissions. </w:t>
      </w:r>
      <w:r w:rsidRPr="008D291E">
        <w:rPr>
          <w:rFonts w:cs="Arial"/>
          <w:sz w:val="22"/>
          <w:szCs w:val="22"/>
        </w:rPr>
        <w:t>These must be submitted via Turniti</w:t>
      </w:r>
      <w:r>
        <w:rPr>
          <w:rFonts w:cs="Arial"/>
          <w:sz w:val="22"/>
          <w:szCs w:val="22"/>
        </w:rPr>
        <w:t xml:space="preserve">n on the module’s Moodle site. </w:t>
      </w:r>
      <w:r w:rsidRPr="008D291E">
        <w:rPr>
          <w:rFonts w:cs="Arial"/>
          <w:sz w:val="22"/>
          <w:szCs w:val="22"/>
        </w:rPr>
        <w:t xml:space="preserve">They must be submitted as a Word file (not as a pdf) and must not include </w:t>
      </w:r>
      <w:r>
        <w:rPr>
          <w:rFonts w:cs="Arial"/>
          <w:sz w:val="22"/>
          <w:szCs w:val="22"/>
        </w:rPr>
        <w:t xml:space="preserve">scanned in text or text boxes. </w:t>
      </w:r>
      <w:r w:rsidRPr="008D291E">
        <w:rPr>
          <w:rFonts w:cs="Arial"/>
          <w:sz w:val="22"/>
          <w:szCs w:val="22"/>
        </w:rPr>
        <w:t>They must be submi</w:t>
      </w:r>
      <w:r>
        <w:rPr>
          <w:rFonts w:cs="Arial"/>
          <w:sz w:val="22"/>
          <w:szCs w:val="22"/>
        </w:rPr>
        <w:t xml:space="preserve">tted by 2pm on the given date. </w:t>
      </w:r>
      <w:r w:rsidRPr="008D291E">
        <w:rPr>
          <w:rFonts w:cs="Arial"/>
          <w:sz w:val="22"/>
          <w:szCs w:val="22"/>
        </w:rPr>
        <w:t xml:space="preserve">For further general details on coursework preparation refer to the online information </w:t>
      </w:r>
      <w:r>
        <w:rPr>
          <w:rFonts w:cs="Arial"/>
          <w:sz w:val="22"/>
          <w:szCs w:val="22"/>
        </w:rPr>
        <w:t>at</w:t>
      </w:r>
      <w:r w:rsidRPr="008D291E">
        <w:rPr>
          <w:rFonts w:cs="Arial"/>
          <w:sz w:val="22"/>
          <w:szCs w:val="22"/>
        </w:rPr>
        <w:t xml:space="preserve"> </w:t>
      </w:r>
      <w:proofErr w:type="spellStart"/>
      <w:r w:rsidRPr="008D291E">
        <w:rPr>
          <w:rFonts w:cs="Arial"/>
          <w:sz w:val="22"/>
          <w:szCs w:val="22"/>
        </w:rPr>
        <w:t>StudentZone</w:t>
      </w:r>
      <w:proofErr w:type="spellEnd"/>
      <w:r>
        <w:rPr>
          <w:rFonts w:cs="Arial"/>
          <w:sz w:val="22"/>
          <w:szCs w:val="22"/>
        </w:rPr>
        <w:t>,</w:t>
      </w:r>
      <w:r w:rsidRPr="008D291E">
        <w:rPr>
          <w:rFonts w:cs="Arial"/>
          <w:sz w:val="22"/>
          <w:szCs w:val="22"/>
        </w:rPr>
        <w:t xml:space="preserve"> </w:t>
      </w:r>
      <w:hyperlink r:id="rId11" w:history="1">
        <w:r w:rsidRPr="00EE4318">
          <w:rPr>
            <w:rFonts w:cs="Arial"/>
            <w:sz w:val="22"/>
            <w:szCs w:val="22"/>
            <w:u w:val="single"/>
          </w:rPr>
          <w:t>http://studentzone.roehampton.ac.uk/howtostudy/index.html</w:t>
        </w:r>
      </w:hyperlink>
      <w:r>
        <w:rPr>
          <w:rFonts w:cs="Arial"/>
          <w:sz w:val="22"/>
          <w:szCs w:val="22"/>
        </w:rPr>
        <w:t>.</w:t>
      </w:r>
    </w:p>
    <w:p w14:paraId="1F2AD725" w14:textId="77777777" w:rsidR="007B7B64" w:rsidRPr="007B18A3" w:rsidRDefault="007B7B64" w:rsidP="007B7B64">
      <w:pPr>
        <w:rPr>
          <w:rFonts w:cs="Arial"/>
          <w:b/>
          <w:color w:val="006600"/>
          <w:sz w:val="26"/>
          <w:szCs w:val="26"/>
        </w:rPr>
      </w:pPr>
    </w:p>
    <w:p w14:paraId="498C568C" w14:textId="77777777" w:rsidR="007B7B64" w:rsidRDefault="007B7B64" w:rsidP="007B7B64">
      <w:pPr>
        <w:rPr>
          <w:rFonts w:cs="Arial"/>
          <w:b/>
          <w:color w:val="006600"/>
          <w:sz w:val="26"/>
          <w:szCs w:val="26"/>
        </w:rPr>
      </w:pPr>
      <w:r w:rsidRPr="00EE4318">
        <w:rPr>
          <w:rFonts w:cs="Arial"/>
          <w:b/>
          <w:color w:val="006600"/>
          <w:sz w:val="26"/>
          <w:szCs w:val="26"/>
        </w:rPr>
        <w:t>Mitigating circumstances/what to do if you cannot submit a piece of work or attend your presentation</w:t>
      </w:r>
    </w:p>
    <w:p w14:paraId="27E103DD" w14:textId="77777777" w:rsidR="007B7B64" w:rsidRPr="00EE4318" w:rsidRDefault="007B7B64" w:rsidP="007B7B64">
      <w:pPr>
        <w:rPr>
          <w:rFonts w:cs="Arial"/>
          <w:b/>
          <w:color w:val="006600"/>
          <w:sz w:val="26"/>
          <w:szCs w:val="26"/>
        </w:rPr>
      </w:pPr>
    </w:p>
    <w:p w14:paraId="7E5E084D" w14:textId="77777777" w:rsidR="007B7B64" w:rsidRPr="00EE4318" w:rsidRDefault="007B7B64" w:rsidP="007B7B64">
      <w:pPr>
        <w:rPr>
          <w:rFonts w:cs="Arial"/>
          <w:sz w:val="22"/>
          <w:szCs w:val="22"/>
          <w:u w:val="single"/>
        </w:rPr>
      </w:pPr>
      <w:r w:rsidRPr="008D291E">
        <w:rPr>
          <w:rFonts w:cs="Arial"/>
          <w:sz w:val="22"/>
          <w:szCs w:val="22"/>
        </w:rPr>
        <w:t>The University Mitigating Circumstances Policy can be found on the University website</w:t>
      </w:r>
      <w:r>
        <w:rPr>
          <w:rFonts w:cs="Arial"/>
          <w:sz w:val="22"/>
          <w:szCs w:val="22"/>
        </w:rPr>
        <w:t>:</w:t>
      </w:r>
      <w:hyperlink r:id="rId12" w:history="1">
        <w:r w:rsidRPr="00EE4318">
          <w:rPr>
            <w:rFonts w:cs="Arial"/>
            <w:sz w:val="22"/>
            <w:szCs w:val="22"/>
            <w:u w:val="single"/>
          </w:rPr>
          <w:t xml:space="preserve"> Mitigatin</w:t>
        </w:r>
      </w:hyperlink>
      <w:r w:rsidRPr="00EE4318">
        <w:rPr>
          <w:rFonts w:cs="Arial"/>
          <w:sz w:val="22"/>
          <w:szCs w:val="22"/>
          <w:u w:val="single"/>
        </w:rPr>
        <w:t>g</w:t>
      </w:r>
      <w:hyperlink r:id="rId13" w:history="1">
        <w:r w:rsidRPr="00EE4318">
          <w:rPr>
            <w:rFonts w:cs="Arial"/>
            <w:sz w:val="22"/>
            <w:szCs w:val="22"/>
            <w:u w:val="single"/>
          </w:rPr>
          <w:t xml:space="preserve"> Circumstances Polic</w:t>
        </w:r>
      </w:hyperlink>
      <w:r w:rsidRPr="00EE4318">
        <w:rPr>
          <w:rFonts w:cs="Arial"/>
          <w:sz w:val="22"/>
          <w:szCs w:val="22"/>
          <w:u w:val="single"/>
        </w:rPr>
        <w:t>y</w:t>
      </w:r>
    </w:p>
    <w:p w14:paraId="78717C10" w14:textId="77777777" w:rsidR="007B7B64" w:rsidRDefault="007B7B64" w:rsidP="007B7B64">
      <w:pPr>
        <w:rPr>
          <w:rFonts w:cs="Arial"/>
          <w:b/>
          <w:color w:val="006600"/>
          <w:sz w:val="26"/>
          <w:szCs w:val="26"/>
        </w:rPr>
      </w:pPr>
      <w:r w:rsidRPr="00EE4318">
        <w:rPr>
          <w:rFonts w:cs="Arial"/>
          <w:b/>
          <w:color w:val="006600"/>
          <w:sz w:val="26"/>
          <w:szCs w:val="26"/>
        </w:rPr>
        <w:t>Marking and feedback process</w:t>
      </w:r>
    </w:p>
    <w:p w14:paraId="34B16906" w14:textId="77777777" w:rsidR="007B7B64" w:rsidRPr="003063A8" w:rsidRDefault="007B7B64" w:rsidP="007B7B64">
      <w:pPr>
        <w:rPr>
          <w:rFonts w:cs="Arial"/>
          <w:b/>
          <w:color w:val="006600"/>
          <w:sz w:val="12"/>
          <w:szCs w:val="12"/>
        </w:rPr>
      </w:pPr>
    </w:p>
    <w:p w14:paraId="1516E4B9" w14:textId="77777777" w:rsidR="007B7B64" w:rsidRPr="008D291E" w:rsidRDefault="007B7B64" w:rsidP="007B7B64">
      <w:pPr>
        <w:jc w:val="both"/>
        <w:rPr>
          <w:rFonts w:cs="Arial"/>
          <w:sz w:val="22"/>
          <w:szCs w:val="22"/>
        </w:rPr>
      </w:pPr>
      <w:r w:rsidRPr="008D291E">
        <w:rPr>
          <w:rFonts w:cs="Arial"/>
          <w:sz w:val="22"/>
          <w:szCs w:val="22"/>
        </w:rPr>
        <w:t>Between you handing in your work and then receiving your feedback and marks within 20 days, there are a number of quality assurance processes that we go through to ensure that students receive marks which reflects their work. A brief summary is provided below.</w:t>
      </w:r>
    </w:p>
    <w:p w14:paraId="2A514302" w14:textId="77777777" w:rsidR="007B7B64" w:rsidRPr="008D291E" w:rsidRDefault="007B7B64" w:rsidP="007B7B64">
      <w:pPr>
        <w:pStyle w:val="ListParagraph"/>
        <w:numPr>
          <w:ilvl w:val="0"/>
          <w:numId w:val="3"/>
        </w:numPr>
        <w:spacing w:before="220"/>
        <w:ind w:left="357" w:hanging="357"/>
        <w:contextualSpacing w:val="0"/>
        <w:rPr>
          <w:rFonts w:cs="Arial"/>
        </w:rPr>
      </w:pPr>
      <w:r w:rsidRPr="008D291E">
        <w:rPr>
          <w:rFonts w:cs="Arial"/>
          <w:b/>
        </w:rPr>
        <w:t>Step One</w:t>
      </w:r>
      <w:r w:rsidRPr="008D291E">
        <w:rPr>
          <w:rFonts w:cs="Arial"/>
        </w:rPr>
        <w:t xml:space="preserve"> – The module and marking team meet to agree standards, expectations and how feedback will be provided.</w:t>
      </w:r>
    </w:p>
    <w:p w14:paraId="0A84673E" w14:textId="77777777" w:rsidR="007B7B64" w:rsidRPr="008D291E" w:rsidRDefault="007B7B64" w:rsidP="007B7B64">
      <w:pPr>
        <w:pStyle w:val="ListParagraph"/>
        <w:numPr>
          <w:ilvl w:val="0"/>
          <w:numId w:val="3"/>
        </w:numPr>
        <w:spacing w:before="220"/>
        <w:ind w:left="357" w:hanging="357"/>
        <w:contextualSpacing w:val="0"/>
        <w:rPr>
          <w:rFonts w:cs="Arial"/>
        </w:rPr>
      </w:pPr>
      <w:r w:rsidRPr="008D291E">
        <w:rPr>
          <w:rFonts w:cs="Arial"/>
          <w:b/>
        </w:rPr>
        <w:t>Step Two</w:t>
      </w:r>
      <w:r w:rsidRPr="008D291E">
        <w:rPr>
          <w:rFonts w:cs="Arial"/>
        </w:rPr>
        <w:t xml:space="preserve"> – A subject expert will mark your work using the criteria provided in the assessment brief.</w:t>
      </w:r>
    </w:p>
    <w:p w14:paraId="14795BE4" w14:textId="77777777" w:rsidR="007B7B64" w:rsidRPr="008D291E" w:rsidRDefault="007B7B64" w:rsidP="007B7B64">
      <w:pPr>
        <w:pStyle w:val="ListParagraph"/>
        <w:numPr>
          <w:ilvl w:val="0"/>
          <w:numId w:val="3"/>
        </w:numPr>
        <w:spacing w:before="220"/>
        <w:ind w:left="357" w:hanging="357"/>
        <w:contextualSpacing w:val="0"/>
        <w:rPr>
          <w:rFonts w:cs="Arial"/>
        </w:rPr>
      </w:pPr>
      <w:r w:rsidRPr="008D291E">
        <w:rPr>
          <w:rFonts w:cs="Arial"/>
          <w:b/>
        </w:rPr>
        <w:t xml:space="preserve">Step Three </w:t>
      </w:r>
      <w:r w:rsidRPr="008D291E">
        <w:rPr>
          <w:rFonts w:cs="Arial"/>
        </w:rPr>
        <w:t xml:space="preserve">– A moderation meeting takes place where all members of the teaching and marking team will review the marking of others to confirm whether they agree with the mark and feedback </w:t>
      </w:r>
    </w:p>
    <w:p w14:paraId="0EC6ED4F" w14:textId="387D71A6" w:rsidR="007B7B64" w:rsidRDefault="007B7B64" w:rsidP="007B7B64">
      <w:pPr>
        <w:pStyle w:val="ListParagraph"/>
        <w:numPr>
          <w:ilvl w:val="0"/>
          <w:numId w:val="3"/>
        </w:numPr>
        <w:spacing w:before="220"/>
        <w:ind w:left="357" w:hanging="357"/>
        <w:contextualSpacing w:val="0"/>
        <w:rPr>
          <w:rFonts w:cs="Arial"/>
        </w:rPr>
      </w:pPr>
      <w:r w:rsidRPr="008D291E">
        <w:rPr>
          <w:rFonts w:cs="Arial"/>
          <w:b/>
        </w:rPr>
        <w:lastRenderedPageBreak/>
        <w:t>Step Four</w:t>
      </w:r>
      <w:r w:rsidRPr="008D291E">
        <w:rPr>
          <w:rFonts w:cs="Arial"/>
        </w:rPr>
        <w:t xml:space="preserve"> – Work then goes to an external examiner who will review a sample of work to confirm that the marking between different staff is consistent and fair</w:t>
      </w:r>
      <w:r w:rsidR="00BE25A0">
        <w:rPr>
          <w:rFonts w:cs="Arial"/>
        </w:rPr>
        <w:t>.</w:t>
      </w:r>
    </w:p>
    <w:p w14:paraId="66635CC8" w14:textId="008A9B03" w:rsidR="007B7B64" w:rsidRPr="003E17E8" w:rsidRDefault="007B7B64" w:rsidP="003E17E8">
      <w:pPr>
        <w:pStyle w:val="ListParagraph"/>
        <w:numPr>
          <w:ilvl w:val="0"/>
          <w:numId w:val="3"/>
        </w:numPr>
        <w:spacing w:before="220"/>
        <w:ind w:left="357" w:hanging="357"/>
        <w:contextualSpacing w:val="0"/>
        <w:rPr>
          <w:rFonts w:cs="Arial"/>
        </w:rPr>
      </w:pPr>
      <w:r w:rsidRPr="003E17E8">
        <w:rPr>
          <w:rFonts w:cs="Arial"/>
          <w:b/>
        </w:rPr>
        <w:t>Step Five</w:t>
      </w:r>
      <w:r w:rsidRPr="003E17E8">
        <w:rPr>
          <w:rFonts w:cs="Arial"/>
        </w:rPr>
        <w:t xml:space="preserve"> – Your mark and feedback </w:t>
      </w:r>
      <w:proofErr w:type="gramStart"/>
      <w:r w:rsidRPr="003E17E8">
        <w:rPr>
          <w:rFonts w:cs="Arial"/>
        </w:rPr>
        <w:t>is</w:t>
      </w:r>
      <w:proofErr w:type="gramEnd"/>
      <w:r w:rsidRPr="003E17E8">
        <w:rPr>
          <w:rFonts w:cs="Arial"/>
        </w:rPr>
        <w:t xml:space="preserve"> processed by the Office and made available to you.</w:t>
      </w:r>
    </w:p>
    <w:p w14:paraId="3C21CDC3" w14:textId="77777777" w:rsidR="007B7B64" w:rsidRPr="007B7B64" w:rsidRDefault="007B7B64" w:rsidP="007B7B64">
      <w:pPr>
        <w:rPr>
          <w:rFonts w:eastAsia="Arial" w:cs="Arial"/>
          <w:szCs w:val="24"/>
          <w:lang w:val="en-US"/>
        </w:rPr>
      </w:pPr>
    </w:p>
    <w:p w14:paraId="52A2EA8D" w14:textId="77777777" w:rsidR="007B7B64" w:rsidRPr="007B7B64" w:rsidRDefault="007B7B64" w:rsidP="007B7B64">
      <w:pPr>
        <w:rPr>
          <w:rFonts w:eastAsia="Arial" w:cs="Arial"/>
          <w:szCs w:val="24"/>
          <w:lang w:val="en-US"/>
        </w:rPr>
      </w:pPr>
    </w:p>
    <w:p w14:paraId="40F6193E" w14:textId="77777777" w:rsidR="007B7B64" w:rsidRPr="007B7B64" w:rsidRDefault="007B7B64" w:rsidP="007B7B64">
      <w:pPr>
        <w:rPr>
          <w:rFonts w:eastAsia="Arial" w:cs="Arial"/>
          <w:szCs w:val="24"/>
          <w:lang w:val="en-US"/>
        </w:rPr>
      </w:pPr>
    </w:p>
    <w:p w14:paraId="14043845" w14:textId="77777777" w:rsidR="007B7B64" w:rsidRPr="007B7B64" w:rsidRDefault="007B7B64" w:rsidP="007B7B64">
      <w:pPr>
        <w:rPr>
          <w:rFonts w:eastAsia="Arial" w:cs="Arial"/>
          <w:szCs w:val="24"/>
          <w:lang w:val="en-US"/>
        </w:rPr>
      </w:pPr>
    </w:p>
    <w:p w14:paraId="7D789F93" w14:textId="77777777" w:rsidR="007B7B64" w:rsidRPr="007B7B64" w:rsidRDefault="007B7B64" w:rsidP="007B7B64">
      <w:pPr>
        <w:rPr>
          <w:rFonts w:eastAsia="Arial" w:cs="Arial"/>
          <w:szCs w:val="24"/>
          <w:lang w:val="en-US"/>
        </w:rPr>
      </w:pPr>
    </w:p>
    <w:p w14:paraId="5B86BF06" w14:textId="77777777" w:rsidR="007B7B64" w:rsidRPr="007B7B64" w:rsidRDefault="007B7B64" w:rsidP="007B7B64">
      <w:pPr>
        <w:rPr>
          <w:rFonts w:eastAsia="Arial" w:cs="Arial"/>
          <w:szCs w:val="24"/>
          <w:lang w:val="en-US"/>
        </w:rPr>
      </w:pPr>
    </w:p>
    <w:p w14:paraId="561E3D2A" w14:textId="77777777" w:rsidR="007B7B64" w:rsidRPr="007B7B64" w:rsidRDefault="007B7B64" w:rsidP="007B7B64">
      <w:pPr>
        <w:rPr>
          <w:rFonts w:eastAsia="Arial" w:cs="Arial"/>
          <w:szCs w:val="24"/>
          <w:lang w:val="en-US"/>
        </w:rPr>
      </w:pPr>
    </w:p>
    <w:p w14:paraId="3C4CC6A0" w14:textId="77777777" w:rsidR="007B7B64" w:rsidRPr="007B7B64" w:rsidRDefault="007B7B64" w:rsidP="007B7B64">
      <w:pPr>
        <w:rPr>
          <w:rFonts w:eastAsia="Arial" w:cs="Arial"/>
          <w:szCs w:val="24"/>
          <w:lang w:val="en-US"/>
        </w:rPr>
      </w:pPr>
    </w:p>
    <w:p w14:paraId="2EAA9A4B" w14:textId="77777777" w:rsidR="007B7B64" w:rsidRPr="007B7B64" w:rsidRDefault="007B7B64" w:rsidP="007B7B64">
      <w:pPr>
        <w:rPr>
          <w:rFonts w:eastAsia="Arial" w:cs="Arial"/>
          <w:szCs w:val="24"/>
          <w:lang w:val="en-US"/>
        </w:rPr>
      </w:pPr>
    </w:p>
    <w:p w14:paraId="013BE10F" w14:textId="77777777" w:rsidR="007B7B64" w:rsidRPr="007B7B64" w:rsidRDefault="007B7B64" w:rsidP="007B7B64">
      <w:pPr>
        <w:rPr>
          <w:rFonts w:eastAsia="Arial" w:cs="Arial"/>
          <w:szCs w:val="24"/>
          <w:lang w:val="en-US"/>
        </w:rPr>
      </w:pPr>
    </w:p>
    <w:p w14:paraId="3500F962" w14:textId="77777777" w:rsidR="007B7B64" w:rsidRPr="007B7B64" w:rsidRDefault="007B7B64" w:rsidP="007B7B64">
      <w:pPr>
        <w:rPr>
          <w:rFonts w:eastAsia="Arial" w:cs="Arial"/>
          <w:szCs w:val="24"/>
          <w:lang w:val="en-US"/>
        </w:rPr>
      </w:pPr>
    </w:p>
    <w:p w14:paraId="2438A751" w14:textId="77777777" w:rsidR="007B7B64" w:rsidRPr="007B7B64" w:rsidRDefault="007B7B64" w:rsidP="007B7B64">
      <w:pPr>
        <w:rPr>
          <w:rFonts w:eastAsia="Arial" w:cs="Arial"/>
          <w:szCs w:val="24"/>
          <w:lang w:val="en-US"/>
        </w:rPr>
      </w:pPr>
    </w:p>
    <w:p w14:paraId="00159437" w14:textId="77777777" w:rsidR="007B7B64" w:rsidRPr="007B7B64" w:rsidRDefault="007B7B64" w:rsidP="007B7B64">
      <w:pPr>
        <w:rPr>
          <w:rFonts w:eastAsia="Arial" w:cs="Arial"/>
          <w:szCs w:val="24"/>
          <w:lang w:val="en-US"/>
        </w:rPr>
      </w:pPr>
    </w:p>
    <w:p w14:paraId="798E2169" w14:textId="77777777" w:rsidR="007B7B64" w:rsidRPr="007B7B64" w:rsidRDefault="007B7B64" w:rsidP="007B7B64">
      <w:pPr>
        <w:rPr>
          <w:rFonts w:eastAsia="Arial" w:cs="Arial"/>
          <w:szCs w:val="24"/>
          <w:lang w:val="en-US"/>
        </w:rPr>
      </w:pPr>
    </w:p>
    <w:p w14:paraId="34E06EAB" w14:textId="77777777" w:rsidR="007B7B64" w:rsidRPr="007B7B64" w:rsidRDefault="007B7B64" w:rsidP="007B7B64">
      <w:pPr>
        <w:rPr>
          <w:rFonts w:eastAsia="Arial" w:cs="Arial"/>
          <w:szCs w:val="24"/>
          <w:lang w:val="en-US"/>
        </w:rPr>
      </w:pPr>
    </w:p>
    <w:p w14:paraId="744930A6" w14:textId="77777777" w:rsidR="007B7B64" w:rsidRPr="007B7B64" w:rsidRDefault="007B7B64" w:rsidP="007B7B64">
      <w:pPr>
        <w:rPr>
          <w:rFonts w:eastAsia="Arial" w:cs="Arial"/>
          <w:szCs w:val="24"/>
          <w:lang w:val="en-US"/>
        </w:rPr>
      </w:pPr>
    </w:p>
    <w:p w14:paraId="3DC4347E" w14:textId="77777777" w:rsidR="007B7B64" w:rsidRPr="007B7B64" w:rsidRDefault="007B7B64" w:rsidP="007B7B64">
      <w:pPr>
        <w:rPr>
          <w:rFonts w:eastAsia="Arial" w:cs="Arial"/>
          <w:szCs w:val="24"/>
          <w:lang w:val="en-US"/>
        </w:rPr>
      </w:pPr>
    </w:p>
    <w:p w14:paraId="50E6BB51" w14:textId="77777777" w:rsidR="007B7B64" w:rsidRPr="007B7B64" w:rsidRDefault="007B7B64" w:rsidP="007B7B64">
      <w:pPr>
        <w:rPr>
          <w:rFonts w:eastAsia="Arial" w:cs="Arial"/>
          <w:szCs w:val="24"/>
          <w:lang w:val="en-US"/>
        </w:rPr>
      </w:pPr>
    </w:p>
    <w:p w14:paraId="0EC4F247" w14:textId="77777777" w:rsidR="007B7B64" w:rsidRPr="007B7B64" w:rsidRDefault="007B7B64" w:rsidP="007B7B64">
      <w:pPr>
        <w:rPr>
          <w:rFonts w:eastAsia="Arial" w:cs="Arial"/>
          <w:szCs w:val="24"/>
          <w:lang w:val="en-US"/>
        </w:rPr>
      </w:pPr>
    </w:p>
    <w:p w14:paraId="41CA7964" w14:textId="3EAD05D1" w:rsidR="008C0DA8" w:rsidRPr="007B7B64" w:rsidRDefault="008C0DA8" w:rsidP="007B7B64">
      <w:pPr>
        <w:rPr>
          <w:rFonts w:eastAsia="Arial" w:cs="Arial"/>
          <w:szCs w:val="24"/>
          <w:lang w:val="en-US"/>
        </w:rPr>
      </w:pPr>
    </w:p>
    <w:sectPr w:rsidR="008C0DA8" w:rsidRPr="007B7B64" w:rsidSect="00BE25A0">
      <w:footerReference w:type="default" r:id="rId14"/>
      <w:pgSz w:w="11906" w:h="16838"/>
      <w:pgMar w:top="851"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DA8887" w14:textId="77777777" w:rsidR="007B7B64" w:rsidRDefault="007B7B64" w:rsidP="007B7B64">
      <w:r>
        <w:separator/>
      </w:r>
    </w:p>
  </w:endnote>
  <w:endnote w:type="continuationSeparator" w:id="0">
    <w:p w14:paraId="57945D23" w14:textId="77777777" w:rsidR="007B7B64" w:rsidRDefault="007B7B64" w:rsidP="007B7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5583647"/>
      <w:docPartObj>
        <w:docPartGallery w:val="Page Numbers (Bottom of Page)"/>
        <w:docPartUnique/>
      </w:docPartObj>
    </w:sdtPr>
    <w:sdtEndPr>
      <w:rPr>
        <w:noProof/>
      </w:rPr>
    </w:sdtEndPr>
    <w:sdtContent>
      <w:p w14:paraId="0BED8B76" w14:textId="687D8DE6" w:rsidR="000B1E19" w:rsidRDefault="000B1E1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73686E" w14:textId="77777777" w:rsidR="007B7B64" w:rsidRDefault="007B7B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58E50D" w14:textId="77777777" w:rsidR="007B7B64" w:rsidRDefault="007B7B64" w:rsidP="007B7B64">
      <w:r>
        <w:separator/>
      </w:r>
    </w:p>
  </w:footnote>
  <w:footnote w:type="continuationSeparator" w:id="0">
    <w:p w14:paraId="58359175" w14:textId="77777777" w:rsidR="007B7B64" w:rsidRDefault="007B7B64" w:rsidP="007B7B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17175"/>
    <w:multiLevelType w:val="hybridMultilevel"/>
    <w:tmpl w:val="F080068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1262EAC"/>
    <w:multiLevelType w:val="hybridMultilevel"/>
    <w:tmpl w:val="F63C12A2"/>
    <w:lvl w:ilvl="0" w:tplc="E81C0B94">
      <w:start w:val="1"/>
      <w:numFmt w:val="decimal"/>
      <w:lvlText w:val="%1)"/>
      <w:lvlJc w:val="left"/>
      <w:pPr>
        <w:ind w:left="375" w:hanging="375"/>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B1025DD"/>
    <w:multiLevelType w:val="hybridMultilevel"/>
    <w:tmpl w:val="940065C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FE0"/>
    <w:rsid w:val="00000602"/>
    <w:rsid w:val="00001A6F"/>
    <w:rsid w:val="00002344"/>
    <w:rsid w:val="00002674"/>
    <w:rsid w:val="00007CC3"/>
    <w:rsid w:val="00011D77"/>
    <w:rsid w:val="000231C0"/>
    <w:rsid w:val="000274AE"/>
    <w:rsid w:val="0003141E"/>
    <w:rsid w:val="00037431"/>
    <w:rsid w:val="00044EBB"/>
    <w:rsid w:val="00050087"/>
    <w:rsid w:val="00064BB0"/>
    <w:rsid w:val="000709CC"/>
    <w:rsid w:val="00076E8F"/>
    <w:rsid w:val="0008049D"/>
    <w:rsid w:val="00082086"/>
    <w:rsid w:val="00082133"/>
    <w:rsid w:val="00087BDA"/>
    <w:rsid w:val="0009033C"/>
    <w:rsid w:val="0009111C"/>
    <w:rsid w:val="00095057"/>
    <w:rsid w:val="00095DFB"/>
    <w:rsid w:val="00097E84"/>
    <w:rsid w:val="000A4D06"/>
    <w:rsid w:val="000B1E19"/>
    <w:rsid w:val="000B5D92"/>
    <w:rsid w:val="000B647D"/>
    <w:rsid w:val="000C39C2"/>
    <w:rsid w:val="000C5794"/>
    <w:rsid w:val="000C6DDC"/>
    <w:rsid w:val="000D16A4"/>
    <w:rsid w:val="000D65CB"/>
    <w:rsid w:val="000E1183"/>
    <w:rsid w:val="000E330E"/>
    <w:rsid w:val="000E4A20"/>
    <w:rsid w:val="000E4D12"/>
    <w:rsid w:val="000E5C31"/>
    <w:rsid w:val="000E75CB"/>
    <w:rsid w:val="000F7951"/>
    <w:rsid w:val="000F7A84"/>
    <w:rsid w:val="000F7AE6"/>
    <w:rsid w:val="00100F7B"/>
    <w:rsid w:val="00103938"/>
    <w:rsid w:val="00110BB7"/>
    <w:rsid w:val="00112CAC"/>
    <w:rsid w:val="00113F86"/>
    <w:rsid w:val="00120453"/>
    <w:rsid w:val="00120BC1"/>
    <w:rsid w:val="001228CA"/>
    <w:rsid w:val="0012410C"/>
    <w:rsid w:val="00126FA1"/>
    <w:rsid w:val="00133606"/>
    <w:rsid w:val="0015344D"/>
    <w:rsid w:val="00154160"/>
    <w:rsid w:val="00156C2F"/>
    <w:rsid w:val="0016029F"/>
    <w:rsid w:val="001645D2"/>
    <w:rsid w:val="00166869"/>
    <w:rsid w:val="00167F44"/>
    <w:rsid w:val="0017606F"/>
    <w:rsid w:val="00182747"/>
    <w:rsid w:val="00187B0C"/>
    <w:rsid w:val="001A0CDC"/>
    <w:rsid w:val="001A1F49"/>
    <w:rsid w:val="001A454D"/>
    <w:rsid w:val="001A7234"/>
    <w:rsid w:val="001B17DE"/>
    <w:rsid w:val="001B2A37"/>
    <w:rsid w:val="001B2EDE"/>
    <w:rsid w:val="001B7FD0"/>
    <w:rsid w:val="001C16D9"/>
    <w:rsid w:val="001C4F6D"/>
    <w:rsid w:val="001C5971"/>
    <w:rsid w:val="001C6028"/>
    <w:rsid w:val="001C6DDB"/>
    <w:rsid w:val="001D0932"/>
    <w:rsid w:val="001E2F43"/>
    <w:rsid w:val="001E7640"/>
    <w:rsid w:val="001F5AA3"/>
    <w:rsid w:val="001F5AA7"/>
    <w:rsid w:val="001F7772"/>
    <w:rsid w:val="002008F4"/>
    <w:rsid w:val="0020188E"/>
    <w:rsid w:val="00202205"/>
    <w:rsid w:val="002057E0"/>
    <w:rsid w:val="0020678F"/>
    <w:rsid w:val="0021243D"/>
    <w:rsid w:val="00213F23"/>
    <w:rsid w:val="0021434F"/>
    <w:rsid w:val="002216D1"/>
    <w:rsid w:val="002347FF"/>
    <w:rsid w:val="0023503A"/>
    <w:rsid w:val="002351F9"/>
    <w:rsid w:val="0025633C"/>
    <w:rsid w:val="00257EA2"/>
    <w:rsid w:val="002607AE"/>
    <w:rsid w:val="00265FA5"/>
    <w:rsid w:val="00281137"/>
    <w:rsid w:val="0028383A"/>
    <w:rsid w:val="002A00B6"/>
    <w:rsid w:val="002A2DB2"/>
    <w:rsid w:val="002A7381"/>
    <w:rsid w:val="002B17E1"/>
    <w:rsid w:val="002B4D8F"/>
    <w:rsid w:val="002B7761"/>
    <w:rsid w:val="002C707A"/>
    <w:rsid w:val="002D0194"/>
    <w:rsid w:val="002D1123"/>
    <w:rsid w:val="002D2112"/>
    <w:rsid w:val="002D2CC2"/>
    <w:rsid w:val="002D490B"/>
    <w:rsid w:val="002D640D"/>
    <w:rsid w:val="002D7CA8"/>
    <w:rsid w:val="002E63C7"/>
    <w:rsid w:val="002F0990"/>
    <w:rsid w:val="003005BD"/>
    <w:rsid w:val="00303CE4"/>
    <w:rsid w:val="0031387E"/>
    <w:rsid w:val="00316244"/>
    <w:rsid w:val="00316840"/>
    <w:rsid w:val="00326714"/>
    <w:rsid w:val="00331CCE"/>
    <w:rsid w:val="00331F4A"/>
    <w:rsid w:val="00333627"/>
    <w:rsid w:val="0033483D"/>
    <w:rsid w:val="003520C6"/>
    <w:rsid w:val="003537D7"/>
    <w:rsid w:val="003545E9"/>
    <w:rsid w:val="0035573C"/>
    <w:rsid w:val="00361989"/>
    <w:rsid w:val="00363428"/>
    <w:rsid w:val="003652FC"/>
    <w:rsid w:val="0038123D"/>
    <w:rsid w:val="0038473B"/>
    <w:rsid w:val="00393552"/>
    <w:rsid w:val="00393DFC"/>
    <w:rsid w:val="00396F64"/>
    <w:rsid w:val="00397590"/>
    <w:rsid w:val="003A1FB9"/>
    <w:rsid w:val="003A3C0D"/>
    <w:rsid w:val="003A40B9"/>
    <w:rsid w:val="003A490A"/>
    <w:rsid w:val="003A7FCF"/>
    <w:rsid w:val="003B2332"/>
    <w:rsid w:val="003B2F4E"/>
    <w:rsid w:val="003B4782"/>
    <w:rsid w:val="003C0287"/>
    <w:rsid w:val="003D068C"/>
    <w:rsid w:val="003D0F35"/>
    <w:rsid w:val="003D36F0"/>
    <w:rsid w:val="003D4350"/>
    <w:rsid w:val="003D5105"/>
    <w:rsid w:val="003D5443"/>
    <w:rsid w:val="003D6E39"/>
    <w:rsid w:val="003D6EBF"/>
    <w:rsid w:val="003E17E8"/>
    <w:rsid w:val="003E3289"/>
    <w:rsid w:val="003E5404"/>
    <w:rsid w:val="003E6055"/>
    <w:rsid w:val="003F0BF4"/>
    <w:rsid w:val="0040088F"/>
    <w:rsid w:val="00401338"/>
    <w:rsid w:val="004061AF"/>
    <w:rsid w:val="00414B71"/>
    <w:rsid w:val="0042036F"/>
    <w:rsid w:val="00421E12"/>
    <w:rsid w:val="0042260F"/>
    <w:rsid w:val="004228F8"/>
    <w:rsid w:val="004255E1"/>
    <w:rsid w:val="00425BC1"/>
    <w:rsid w:val="004271FE"/>
    <w:rsid w:val="004315EE"/>
    <w:rsid w:val="004315FE"/>
    <w:rsid w:val="0043639E"/>
    <w:rsid w:val="0043689D"/>
    <w:rsid w:val="00436B93"/>
    <w:rsid w:val="00436FCA"/>
    <w:rsid w:val="0043787D"/>
    <w:rsid w:val="00437C06"/>
    <w:rsid w:val="00440C89"/>
    <w:rsid w:val="00441376"/>
    <w:rsid w:val="004462C3"/>
    <w:rsid w:val="0045135C"/>
    <w:rsid w:val="00451A74"/>
    <w:rsid w:val="004531BF"/>
    <w:rsid w:val="00454F89"/>
    <w:rsid w:val="00465F05"/>
    <w:rsid w:val="004671E1"/>
    <w:rsid w:val="004673B3"/>
    <w:rsid w:val="00470213"/>
    <w:rsid w:val="004740C4"/>
    <w:rsid w:val="004764D0"/>
    <w:rsid w:val="004937F5"/>
    <w:rsid w:val="00496769"/>
    <w:rsid w:val="004968A3"/>
    <w:rsid w:val="004A1579"/>
    <w:rsid w:val="004C7B5C"/>
    <w:rsid w:val="004D0EA1"/>
    <w:rsid w:val="004D2F20"/>
    <w:rsid w:val="004D6898"/>
    <w:rsid w:val="004D6DF8"/>
    <w:rsid w:val="004E063F"/>
    <w:rsid w:val="004E2393"/>
    <w:rsid w:val="004E5042"/>
    <w:rsid w:val="004E5C1A"/>
    <w:rsid w:val="004F0C0D"/>
    <w:rsid w:val="004F129A"/>
    <w:rsid w:val="004F37FC"/>
    <w:rsid w:val="004F4032"/>
    <w:rsid w:val="004F6BAB"/>
    <w:rsid w:val="00506FBE"/>
    <w:rsid w:val="005102F8"/>
    <w:rsid w:val="00510F44"/>
    <w:rsid w:val="00516B42"/>
    <w:rsid w:val="005257E0"/>
    <w:rsid w:val="00530160"/>
    <w:rsid w:val="00530CAD"/>
    <w:rsid w:val="00533E22"/>
    <w:rsid w:val="0053612F"/>
    <w:rsid w:val="00536D08"/>
    <w:rsid w:val="00541ABE"/>
    <w:rsid w:val="00545453"/>
    <w:rsid w:val="005508F2"/>
    <w:rsid w:val="00551263"/>
    <w:rsid w:val="00553C57"/>
    <w:rsid w:val="00556BE7"/>
    <w:rsid w:val="00557348"/>
    <w:rsid w:val="00560383"/>
    <w:rsid w:val="00562FA2"/>
    <w:rsid w:val="00565E36"/>
    <w:rsid w:val="00567D5B"/>
    <w:rsid w:val="00573068"/>
    <w:rsid w:val="0057638D"/>
    <w:rsid w:val="00582A91"/>
    <w:rsid w:val="00585930"/>
    <w:rsid w:val="00587E9B"/>
    <w:rsid w:val="005A31BF"/>
    <w:rsid w:val="005A69AB"/>
    <w:rsid w:val="005B296B"/>
    <w:rsid w:val="005B31CE"/>
    <w:rsid w:val="005B49EA"/>
    <w:rsid w:val="005C0673"/>
    <w:rsid w:val="005C6865"/>
    <w:rsid w:val="005D236D"/>
    <w:rsid w:val="005D34AC"/>
    <w:rsid w:val="005E2113"/>
    <w:rsid w:val="005F06B9"/>
    <w:rsid w:val="005F59B3"/>
    <w:rsid w:val="00601F44"/>
    <w:rsid w:val="006030BD"/>
    <w:rsid w:val="00603927"/>
    <w:rsid w:val="00606C0E"/>
    <w:rsid w:val="00612B0B"/>
    <w:rsid w:val="006138CA"/>
    <w:rsid w:val="00617AFA"/>
    <w:rsid w:val="0062581A"/>
    <w:rsid w:val="00630B86"/>
    <w:rsid w:val="006313B8"/>
    <w:rsid w:val="00633B05"/>
    <w:rsid w:val="00634CA2"/>
    <w:rsid w:val="006362A8"/>
    <w:rsid w:val="00642046"/>
    <w:rsid w:val="00645583"/>
    <w:rsid w:val="006465CA"/>
    <w:rsid w:val="006529D1"/>
    <w:rsid w:val="00652C93"/>
    <w:rsid w:val="006574B8"/>
    <w:rsid w:val="00665177"/>
    <w:rsid w:val="00665689"/>
    <w:rsid w:val="00665816"/>
    <w:rsid w:val="00665FAD"/>
    <w:rsid w:val="00671700"/>
    <w:rsid w:val="00671C80"/>
    <w:rsid w:val="00672DDC"/>
    <w:rsid w:val="00675E92"/>
    <w:rsid w:val="0068009E"/>
    <w:rsid w:val="00681B1A"/>
    <w:rsid w:val="00682452"/>
    <w:rsid w:val="006834D4"/>
    <w:rsid w:val="0068379C"/>
    <w:rsid w:val="00685F4E"/>
    <w:rsid w:val="00686803"/>
    <w:rsid w:val="00687477"/>
    <w:rsid w:val="006A11EA"/>
    <w:rsid w:val="006A73AD"/>
    <w:rsid w:val="006A7683"/>
    <w:rsid w:val="006B115B"/>
    <w:rsid w:val="006B18D4"/>
    <w:rsid w:val="006B1C7C"/>
    <w:rsid w:val="006C1D95"/>
    <w:rsid w:val="006C30AD"/>
    <w:rsid w:val="006D03AD"/>
    <w:rsid w:val="006D0EA5"/>
    <w:rsid w:val="006D27D8"/>
    <w:rsid w:val="006D44E2"/>
    <w:rsid w:val="006D45DE"/>
    <w:rsid w:val="006D7AA5"/>
    <w:rsid w:val="006E1E63"/>
    <w:rsid w:val="006E7B4B"/>
    <w:rsid w:val="006F0EE8"/>
    <w:rsid w:val="006F1478"/>
    <w:rsid w:val="006F31D6"/>
    <w:rsid w:val="006F6A1E"/>
    <w:rsid w:val="006F784C"/>
    <w:rsid w:val="00701B2B"/>
    <w:rsid w:val="00704688"/>
    <w:rsid w:val="00706E56"/>
    <w:rsid w:val="00707363"/>
    <w:rsid w:val="00707CBA"/>
    <w:rsid w:val="007104C7"/>
    <w:rsid w:val="0071253F"/>
    <w:rsid w:val="007212DE"/>
    <w:rsid w:val="007226A3"/>
    <w:rsid w:val="007232CC"/>
    <w:rsid w:val="007524F5"/>
    <w:rsid w:val="007529B3"/>
    <w:rsid w:val="00756309"/>
    <w:rsid w:val="00762E7A"/>
    <w:rsid w:val="00763556"/>
    <w:rsid w:val="00764098"/>
    <w:rsid w:val="00770380"/>
    <w:rsid w:val="007744E5"/>
    <w:rsid w:val="007755C1"/>
    <w:rsid w:val="00783FFF"/>
    <w:rsid w:val="00785371"/>
    <w:rsid w:val="00787BC3"/>
    <w:rsid w:val="007A295B"/>
    <w:rsid w:val="007A6912"/>
    <w:rsid w:val="007A6A91"/>
    <w:rsid w:val="007B1336"/>
    <w:rsid w:val="007B7B64"/>
    <w:rsid w:val="007C24F1"/>
    <w:rsid w:val="007C3747"/>
    <w:rsid w:val="007C4C87"/>
    <w:rsid w:val="007C5411"/>
    <w:rsid w:val="007C5D49"/>
    <w:rsid w:val="007C6DE9"/>
    <w:rsid w:val="007D270B"/>
    <w:rsid w:val="007D7665"/>
    <w:rsid w:val="007E2A72"/>
    <w:rsid w:val="007E2E87"/>
    <w:rsid w:val="007E31A3"/>
    <w:rsid w:val="007E58DE"/>
    <w:rsid w:val="007E7F39"/>
    <w:rsid w:val="007F67BF"/>
    <w:rsid w:val="00807678"/>
    <w:rsid w:val="00814293"/>
    <w:rsid w:val="00827DFB"/>
    <w:rsid w:val="0083257B"/>
    <w:rsid w:val="00836E96"/>
    <w:rsid w:val="00840C21"/>
    <w:rsid w:val="00841D43"/>
    <w:rsid w:val="00842422"/>
    <w:rsid w:val="00846CCF"/>
    <w:rsid w:val="00857DC9"/>
    <w:rsid w:val="00866BA1"/>
    <w:rsid w:val="0087010D"/>
    <w:rsid w:val="008701B0"/>
    <w:rsid w:val="00871050"/>
    <w:rsid w:val="00875836"/>
    <w:rsid w:val="00881A82"/>
    <w:rsid w:val="00890FA3"/>
    <w:rsid w:val="00892D3A"/>
    <w:rsid w:val="008940CA"/>
    <w:rsid w:val="008975D8"/>
    <w:rsid w:val="008A2C10"/>
    <w:rsid w:val="008B17F2"/>
    <w:rsid w:val="008B1AA0"/>
    <w:rsid w:val="008B1B58"/>
    <w:rsid w:val="008B305F"/>
    <w:rsid w:val="008B34C9"/>
    <w:rsid w:val="008B5D54"/>
    <w:rsid w:val="008B67F0"/>
    <w:rsid w:val="008B6EA6"/>
    <w:rsid w:val="008C0DA8"/>
    <w:rsid w:val="008D226D"/>
    <w:rsid w:val="008D6881"/>
    <w:rsid w:val="008D6F4C"/>
    <w:rsid w:val="008F61F9"/>
    <w:rsid w:val="008F65BF"/>
    <w:rsid w:val="008F660B"/>
    <w:rsid w:val="00900ED8"/>
    <w:rsid w:val="00910A29"/>
    <w:rsid w:val="00911494"/>
    <w:rsid w:val="00926B02"/>
    <w:rsid w:val="0092764D"/>
    <w:rsid w:val="00942124"/>
    <w:rsid w:val="009423F6"/>
    <w:rsid w:val="0094254D"/>
    <w:rsid w:val="00943118"/>
    <w:rsid w:val="009654CD"/>
    <w:rsid w:val="009660E8"/>
    <w:rsid w:val="0097034D"/>
    <w:rsid w:val="00972489"/>
    <w:rsid w:val="00975B1C"/>
    <w:rsid w:val="00976A97"/>
    <w:rsid w:val="0098194F"/>
    <w:rsid w:val="0098607C"/>
    <w:rsid w:val="00986DF3"/>
    <w:rsid w:val="009950D9"/>
    <w:rsid w:val="009A0C75"/>
    <w:rsid w:val="009A15A8"/>
    <w:rsid w:val="009B3A8B"/>
    <w:rsid w:val="009B4B7D"/>
    <w:rsid w:val="009B7111"/>
    <w:rsid w:val="009C0D7C"/>
    <w:rsid w:val="009C1889"/>
    <w:rsid w:val="009C1E63"/>
    <w:rsid w:val="009D0824"/>
    <w:rsid w:val="009D3DAA"/>
    <w:rsid w:val="009E0698"/>
    <w:rsid w:val="009E6412"/>
    <w:rsid w:val="009F4615"/>
    <w:rsid w:val="00A042AC"/>
    <w:rsid w:val="00A12527"/>
    <w:rsid w:val="00A12F22"/>
    <w:rsid w:val="00A24582"/>
    <w:rsid w:val="00A2515B"/>
    <w:rsid w:val="00A30383"/>
    <w:rsid w:val="00A33C57"/>
    <w:rsid w:val="00A41B57"/>
    <w:rsid w:val="00A44792"/>
    <w:rsid w:val="00A4719A"/>
    <w:rsid w:val="00A501AE"/>
    <w:rsid w:val="00A521F8"/>
    <w:rsid w:val="00A54970"/>
    <w:rsid w:val="00A64E14"/>
    <w:rsid w:val="00A672C0"/>
    <w:rsid w:val="00A7242F"/>
    <w:rsid w:val="00A80979"/>
    <w:rsid w:val="00A8218D"/>
    <w:rsid w:val="00A8484F"/>
    <w:rsid w:val="00A8735F"/>
    <w:rsid w:val="00A92303"/>
    <w:rsid w:val="00A939EE"/>
    <w:rsid w:val="00A944FD"/>
    <w:rsid w:val="00A95324"/>
    <w:rsid w:val="00AA0D8F"/>
    <w:rsid w:val="00AB07CC"/>
    <w:rsid w:val="00AB1303"/>
    <w:rsid w:val="00AB4BAE"/>
    <w:rsid w:val="00AB646B"/>
    <w:rsid w:val="00AC0D8D"/>
    <w:rsid w:val="00AC272B"/>
    <w:rsid w:val="00AC523C"/>
    <w:rsid w:val="00AD03BA"/>
    <w:rsid w:val="00AD162C"/>
    <w:rsid w:val="00AD3145"/>
    <w:rsid w:val="00AD69FF"/>
    <w:rsid w:val="00AD775A"/>
    <w:rsid w:val="00AF04D8"/>
    <w:rsid w:val="00AF3DCB"/>
    <w:rsid w:val="00AF5877"/>
    <w:rsid w:val="00AF6559"/>
    <w:rsid w:val="00B00670"/>
    <w:rsid w:val="00B01CCD"/>
    <w:rsid w:val="00B04E6A"/>
    <w:rsid w:val="00B0712A"/>
    <w:rsid w:val="00B07BAA"/>
    <w:rsid w:val="00B13E4E"/>
    <w:rsid w:val="00B17353"/>
    <w:rsid w:val="00B2374A"/>
    <w:rsid w:val="00B23B79"/>
    <w:rsid w:val="00B26914"/>
    <w:rsid w:val="00B27972"/>
    <w:rsid w:val="00B350DF"/>
    <w:rsid w:val="00B353AD"/>
    <w:rsid w:val="00B408D4"/>
    <w:rsid w:val="00B4110F"/>
    <w:rsid w:val="00B51646"/>
    <w:rsid w:val="00B51E0C"/>
    <w:rsid w:val="00B52E51"/>
    <w:rsid w:val="00B53802"/>
    <w:rsid w:val="00B53AC0"/>
    <w:rsid w:val="00B62DFC"/>
    <w:rsid w:val="00B66894"/>
    <w:rsid w:val="00B7193D"/>
    <w:rsid w:val="00B73BFD"/>
    <w:rsid w:val="00B80D26"/>
    <w:rsid w:val="00B86F23"/>
    <w:rsid w:val="00B918EA"/>
    <w:rsid w:val="00B91BB2"/>
    <w:rsid w:val="00B97369"/>
    <w:rsid w:val="00BA17FA"/>
    <w:rsid w:val="00BA74F7"/>
    <w:rsid w:val="00BB25D4"/>
    <w:rsid w:val="00BB72D8"/>
    <w:rsid w:val="00BC04C6"/>
    <w:rsid w:val="00BC15C9"/>
    <w:rsid w:val="00BD32E8"/>
    <w:rsid w:val="00BD56BD"/>
    <w:rsid w:val="00BD5B45"/>
    <w:rsid w:val="00BE25A0"/>
    <w:rsid w:val="00BF3F46"/>
    <w:rsid w:val="00BF48D2"/>
    <w:rsid w:val="00BF74CE"/>
    <w:rsid w:val="00BF7B5F"/>
    <w:rsid w:val="00C040C8"/>
    <w:rsid w:val="00C111C4"/>
    <w:rsid w:val="00C14128"/>
    <w:rsid w:val="00C16913"/>
    <w:rsid w:val="00C16D66"/>
    <w:rsid w:val="00C208EE"/>
    <w:rsid w:val="00C3381D"/>
    <w:rsid w:val="00C36A61"/>
    <w:rsid w:val="00C36C41"/>
    <w:rsid w:val="00C409AA"/>
    <w:rsid w:val="00C43E15"/>
    <w:rsid w:val="00C477FA"/>
    <w:rsid w:val="00C50AE8"/>
    <w:rsid w:val="00C564D1"/>
    <w:rsid w:val="00C57D1E"/>
    <w:rsid w:val="00C60519"/>
    <w:rsid w:val="00C6095F"/>
    <w:rsid w:val="00C64E30"/>
    <w:rsid w:val="00C65442"/>
    <w:rsid w:val="00C7619C"/>
    <w:rsid w:val="00C763E4"/>
    <w:rsid w:val="00C819E1"/>
    <w:rsid w:val="00C86425"/>
    <w:rsid w:val="00C87B01"/>
    <w:rsid w:val="00C96671"/>
    <w:rsid w:val="00CA0E91"/>
    <w:rsid w:val="00CA1A5E"/>
    <w:rsid w:val="00CA5275"/>
    <w:rsid w:val="00CB2265"/>
    <w:rsid w:val="00CC1241"/>
    <w:rsid w:val="00CC135C"/>
    <w:rsid w:val="00CC388D"/>
    <w:rsid w:val="00CC4022"/>
    <w:rsid w:val="00CC4F97"/>
    <w:rsid w:val="00CD08A0"/>
    <w:rsid w:val="00CF2EFB"/>
    <w:rsid w:val="00CF6470"/>
    <w:rsid w:val="00D00628"/>
    <w:rsid w:val="00D00967"/>
    <w:rsid w:val="00D01B76"/>
    <w:rsid w:val="00D12769"/>
    <w:rsid w:val="00D142B5"/>
    <w:rsid w:val="00D15A74"/>
    <w:rsid w:val="00D174EB"/>
    <w:rsid w:val="00D1759B"/>
    <w:rsid w:val="00D24CAD"/>
    <w:rsid w:val="00D26B99"/>
    <w:rsid w:val="00D273EC"/>
    <w:rsid w:val="00D32215"/>
    <w:rsid w:val="00D35ADA"/>
    <w:rsid w:val="00D37E32"/>
    <w:rsid w:val="00D42342"/>
    <w:rsid w:val="00D50304"/>
    <w:rsid w:val="00D52B80"/>
    <w:rsid w:val="00D561AF"/>
    <w:rsid w:val="00D648BA"/>
    <w:rsid w:val="00D7058C"/>
    <w:rsid w:val="00D7071B"/>
    <w:rsid w:val="00D732CC"/>
    <w:rsid w:val="00D73A54"/>
    <w:rsid w:val="00D74D5A"/>
    <w:rsid w:val="00D92552"/>
    <w:rsid w:val="00DA1B9A"/>
    <w:rsid w:val="00DA281B"/>
    <w:rsid w:val="00DA5013"/>
    <w:rsid w:val="00DB574E"/>
    <w:rsid w:val="00DB5C15"/>
    <w:rsid w:val="00DC3401"/>
    <w:rsid w:val="00DC5A93"/>
    <w:rsid w:val="00DD35CF"/>
    <w:rsid w:val="00DD7BCA"/>
    <w:rsid w:val="00DE3617"/>
    <w:rsid w:val="00DE3B07"/>
    <w:rsid w:val="00DE58BA"/>
    <w:rsid w:val="00DF35BC"/>
    <w:rsid w:val="00DF5407"/>
    <w:rsid w:val="00DF64C4"/>
    <w:rsid w:val="00E02546"/>
    <w:rsid w:val="00E10D4B"/>
    <w:rsid w:val="00E16E21"/>
    <w:rsid w:val="00E30F05"/>
    <w:rsid w:val="00E31924"/>
    <w:rsid w:val="00E4155A"/>
    <w:rsid w:val="00E470C4"/>
    <w:rsid w:val="00E47B47"/>
    <w:rsid w:val="00E47CDF"/>
    <w:rsid w:val="00E54849"/>
    <w:rsid w:val="00E635DC"/>
    <w:rsid w:val="00E673F6"/>
    <w:rsid w:val="00E67E51"/>
    <w:rsid w:val="00E70AA8"/>
    <w:rsid w:val="00E73CA2"/>
    <w:rsid w:val="00E73D83"/>
    <w:rsid w:val="00E7409A"/>
    <w:rsid w:val="00E74C6B"/>
    <w:rsid w:val="00E77CEF"/>
    <w:rsid w:val="00E81503"/>
    <w:rsid w:val="00E84920"/>
    <w:rsid w:val="00E84BB9"/>
    <w:rsid w:val="00E92946"/>
    <w:rsid w:val="00EA018C"/>
    <w:rsid w:val="00EA7437"/>
    <w:rsid w:val="00EA7F9E"/>
    <w:rsid w:val="00EB5049"/>
    <w:rsid w:val="00EC20B0"/>
    <w:rsid w:val="00EC2C8E"/>
    <w:rsid w:val="00EC6093"/>
    <w:rsid w:val="00ED2717"/>
    <w:rsid w:val="00EE71DE"/>
    <w:rsid w:val="00EF2CE1"/>
    <w:rsid w:val="00EF3175"/>
    <w:rsid w:val="00EF57EC"/>
    <w:rsid w:val="00EF7481"/>
    <w:rsid w:val="00F04BBE"/>
    <w:rsid w:val="00F05600"/>
    <w:rsid w:val="00F07FE0"/>
    <w:rsid w:val="00F147F1"/>
    <w:rsid w:val="00F217BB"/>
    <w:rsid w:val="00F220C0"/>
    <w:rsid w:val="00F25ECE"/>
    <w:rsid w:val="00F354D3"/>
    <w:rsid w:val="00F36C0B"/>
    <w:rsid w:val="00F47E52"/>
    <w:rsid w:val="00F568A1"/>
    <w:rsid w:val="00F65213"/>
    <w:rsid w:val="00F662FE"/>
    <w:rsid w:val="00F671CE"/>
    <w:rsid w:val="00F80425"/>
    <w:rsid w:val="00F8314E"/>
    <w:rsid w:val="00F84B77"/>
    <w:rsid w:val="00F86B50"/>
    <w:rsid w:val="00F86C00"/>
    <w:rsid w:val="00F9366E"/>
    <w:rsid w:val="00F9367A"/>
    <w:rsid w:val="00F94DB3"/>
    <w:rsid w:val="00FA0E60"/>
    <w:rsid w:val="00FA1CA7"/>
    <w:rsid w:val="00FA471D"/>
    <w:rsid w:val="00FB1EAC"/>
    <w:rsid w:val="00FC4B12"/>
    <w:rsid w:val="00FC6818"/>
    <w:rsid w:val="00FD3860"/>
    <w:rsid w:val="00FF02E9"/>
    <w:rsid w:val="00FF2280"/>
    <w:rsid w:val="00FF35F8"/>
    <w:rsid w:val="00FF62D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882BE"/>
  <w15:chartTrackingRefBased/>
  <w15:docId w15:val="{152F0420-AD2F-452D-9CC8-5FB3C220F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7FE0"/>
    <w:pPr>
      <w:spacing w:after="0" w:line="240" w:lineRule="auto"/>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07F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7FE0"/>
    <w:rPr>
      <w:color w:val="0000FF"/>
      <w:u w:val="single"/>
    </w:rPr>
  </w:style>
  <w:style w:type="paragraph" w:styleId="BalloonText">
    <w:name w:val="Balloon Text"/>
    <w:basedOn w:val="Normal"/>
    <w:link w:val="BalloonTextChar"/>
    <w:uiPriority w:val="99"/>
    <w:semiHidden/>
    <w:unhideWhenUsed/>
    <w:rsid w:val="0033362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3627"/>
    <w:rPr>
      <w:rFonts w:ascii="Segoe UI" w:eastAsia="Times New Roman" w:hAnsi="Segoe UI" w:cs="Segoe UI"/>
      <w:sz w:val="18"/>
      <w:szCs w:val="18"/>
    </w:rPr>
  </w:style>
  <w:style w:type="paragraph" w:styleId="ListParagraph">
    <w:name w:val="List Paragraph"/>
    <w:basedOn w:val="Normal"/>
    <w:uiPriority w:val="34"/>
    <w:qFormat/>
    <w:rsid w:val="00687477"/>
    <w:pPr>
      <w:ind w:left="720"/>
      <w:contextualSpacing/>
    </w:pPr>
  </w:style>
  <w:style w:type="character" w:styleId="FollowedHyperlink">
    <w:name w:val="FollowedHyperlink"/>
    <w:basedOn w:val="DefaultParagraphFont"/>
    <w:uiPriority w:val="99"/>
    <w:semiHidden/>
    <w:unhideWhenUsed/>
    <w:rsid w:val="00C111C4"/>
    <w:rPr>
      <w:color w:val="954F72" w:themeColor="followedHyperlink"/>
      <w:u w:val="single"/>
    </w:rPr>
  </w:style>
  <w:style w:type="character" w:styleId="UnresolvedMention">
    <w:name w:val="Unresolved Mention"/>
    <w:basedOn w:val="DefaultParagraphFont"/>
    <w:uiPriority w:val="99"/>
    <w:semiHidden/>
    <w:unhideWhenUsed/>
    <w:rsid w:val="005C6865"/>
    <w:rPr>
      <w:color w:val="605E5C"/>
      <w:shd w:val="clear" w:color="auto" w:fill="E1DFDD"/>
    </w:rPr>
  </w:style>
  <w:style w:type="paragraph" w:customStyle="1" w:styleId="xmsonormal">
    <w:name w:val="x_msonormal"/>
    <w:basedOn w:val="Normal"/>
    <w:rsid w:val="005C6865"/>
    <w:rPr>
      <w:rFonts w:ascii="Calibri" w:eastAsiaTheme="minorHAnsi" w:hAnsi="Calibri" w:cs="Calibri"/>
      <w:sz w:val="22"/>
      <w:szCs w:val="22"/>
      <w:lang w:eastAsia="en-GB"/>
    </w:rPr>
  </w:style>
  <w:style w:type="paragraph" w:styleId="Header">
    <w:name w:val="header"/>
    <w:basedOn w:val="Normal"/>
    <w:link w:val="HeaderChar"/>
    <w:uiPriority w:val="99"/>
    <w:unhideWhenUsed/>
    <w:rsid w:val="007B7B64"/>
    <w:pPr>
      <w:tabs>
        <w:tab w:val="center" w:pos="4513"/>
        <w:tab w:val="right" w:pos="9026"/>
      </w:tabs>
    </w:pPr>
  </w:style>
  <w:style w:type="character" w:customStyle="1" w:styleId="HeaderChar">
    <w:name w:val="Header Char"/>
    <w:basedOn w:val="DefaultParagraphFont"/>
    <w:link w:val="Header"/>
    <w:uiPriority w:val="99"/>
    <w:rsid w:val="007B7B64"/>
    <w:rPr>
      <w:rFonts w:ascii="Arial" w:eastAsia="Times New Roman" w:hAnsi="Arial" w:cs="Times New Roman"/>
      <w:sz w:val="24"/>
      <w:szCs w:val="20"/>
    </w:rPr>
  </w:style>
  <w:style w:type="paragraph" w:styleId="Footer">
    <w:name w:val="footer"/>
    <w:basedOn w:val="Normal"/>
    <w:link w:val="FooterChar"/>
    <w:uiPriority w:val="99"/>
    <w:unhideWhenUsed/>
    <w:rsid w:val="007B7B64"/>
    <w:pPr>
      <w:tabs>
        <w:tab w:val="center" w:pos="4513"/>
        <w:tab w:val="right" w:pos="9026"/>
      </w:tabs>
    </w:pPr>
  </w:style>
  <w:style w:type="character" w:customStyle="1" w:styleId="FooterChar">
    <w:name w:val="Footer Char"/>
    <w:basedOn w:val="DefaultParagraphFont"/>
    <w:link w:val="Footer"/>
    <w:uiPriority w:val="99"/>
    <w:rsid w:val="007B7B64"/>
    <w:rPr>
      <w:rFonts w:ascii="Arial" w:eastAsia="Times New Roman" w:hAnsi="Arial"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457688">
      <w:bodyDiv w:val="1"/>
      <w:marLeft w:val="0"/>
      <w:marRight w:val="0"/>
      <w:marTop w:val="0"/>
      <w:marBottom w:val="0"/>
      <w:divBdr>
        <w:top w:val="none" w:sz="0" w:space="0" w:color="auto"/>
        <w:left w:val="none" w:sz="0" w:space="0" w:color="auto"/>
        <w:bottom w:val="none" w:sz="0" w:space="0" w:color="auto"/>
        <w:right w:val="none" w:sz="0" w:space="0" w:color="auto"/>
      </w:divBdr>
    </w:div>
    <w:div w:id="701980827">
      <w:bodyDiv w:val="1"/>
      <w:marLeft w:val="0"/>
      <w:marRight w:val="0"/>
      <w:marTop w:val="0"/>
      <w:marBottom w:val="0"/>
      <w:divBdr>
        <w:top w:val="none" w:sz="0" w:space="0" w:color="auto"/>
        <w:left w:val="none" w:sz="0" w:space="0" w:color="auto"/>
        <w:bottom w:val="none" w:sz="0" w:space="0" w:color="auto"/>
        <w:right w:val="none" w:sz="0" w:space="0" w:color="auto"/>
      </w:divBdr>
    </w:div>
    <w:div w:id="81074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lliamhillplc.com/historical-investor-centre/results-reports-and-presentations/2021/" TargetMode="External"/><Relationship Id="rId13" Type="http://schemas.openxmlformats.org/officeDocument/2006/relationships/hyperlink" Target="http://www.roehampton.ac.uk/uploadedFiles/Pages_Assets/PDFs_and_Word_Docs/Quality_and_Standards/Mitigating%20circumstances%20policy%20August%202013.pdf" TargetMode="External"/><Relationship Id="rId3" Type="http://schemas.openxmlformats.org/officeDocument/2006/relationships/settings" Target="settings.xml"/><Relationship Id="rId7" Type="http://schemas.openxmlformats.org/officeDocument/2006/relationships/hyperlink" Target="https://news.sky.com/story/william-hill-in-2-9bn-takeover-but-uk-bookmaker-to-be-sold-off-after-deal-completes-12085648" TargetMode="External"/><Relationship Id="rId12" Type="http://schemas.openxmlformats.org/officeDocument/2006/relationships/hyperlink" Target="http://www.roehampton.ac.uk/uploadedFiles/Pages_Assets/PDFs_and_Word_Docs/Quality_and_Standards/Mitiga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udentzone.roehampton.ac.uk/howtostudy/index.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williamhillplc.com/historical-investor-centre/results-reports-and-presentations/2021/" TargetMode="External"/><Relationship Id="rId4" Type="http://schemas.openxmlformats.org/officeDocument/2006/relationships/webSettings" Target="webSettings.xml"/><Relationship Id="rId9" Type="http://schemas.openxmlformats.org/officeDocument/2006/relationships/hyperlink" Target="https://news.sky.com/story/william-hill-in-2-9bn-takeover-but-uk-bookmaker-to-be-sold-off-after-deal-completes-12085648"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Roehampton University</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Harris</dc:creator>
  <cp:keywords/>
  <dc:description/>
  <cp:lastModifiedBy>Moataz Elmassri</cp:lastModifiedBy>
  <cp:revision>2</cp:revision>
  <cp:lastPrinted>2021-07-29T09:08:00Z</cp:lastPrinted>
  <dcterms:created xsi:type="dcterms:W3CDTF">2023-05-17T10:07:00Z</dcterms:created>
  <dcterms:modified xsi:type="dcterms:W3CDTF">2023-05-17T10:07:00Z</dcterms:modified>
</cp:coreProperties>
</file>