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55E9E"/>
          <w:sz w:val="52"/>
          <w:szCs w:val="52"/>
        </w:rPr>
        <w:t xml:space="preserve">Product Specification &amp; Implementation Plan</w:t>
      </w:r>
    </w:p>
    <w:p>
      <w:pPr>
        <w:spacing w:after="300"/>
        <w:jc w:val="center"/>
      </w:pPr>
      <w:r>
        <w:rPr>
          <w:color w:val="4C5B6B"/>
          <w:sz w:val="26"/>
          <w:szCs w:val="26"/>
        </w:rPr>
        <w:t xml:space="preserve">Spine Quality &amp; Outcomes System</w:t>
      </w:r>
    </w:p>
    <w:p>
      <w:pPr>
        <w:jc w:val="center"/>
      </w:pPr>
      <w:r>
        <w:rPr>
          <w:color w:val="71808F"/>
          <w:sz w:val="22"/>
          <w:szCs w:val="22"/>
        </w:rPr>
        <w:t xml:space="preserve">Multidisciplinary Spine Clinic · Version 1.0 · July 2026</w:t>
      </w:r>
    </w:p>
    <w:p>
      <w:pPr>
        <w:spacing w:before="200"/>
        <w:jc w:val="center"/>
      </w:pPr>
      <w:r>
        <w:rPr>
          <w:i/>
          <w:iCs/>
          <w:color w:val="9A6700"/>
          <w:sz w:val="20"/>
          <w:szCs w:val="20"/>
        </w:rPr>
        <w:t xml:space="preserve">DRAFT FOR CLINICAL AND OPERATIONAL REVIEW — contains no real patient data</w:t>
      </w:r>
    </w:p>
    <w:p>
      <w:r>
        <w:br w:type="page"/>
      </w:r>
    </w:p>
    <w:p>
      <w:pPr>
        <w:pStyle w:val="Heading1"/>
        <w:spacing w:after="120" w:before="320"/>
      </w:pPr>
      <w:r>
        <w:rPr>
          <w:color w:val="155E9E"/>
        </w:rPr>
        <w:t xml:space="preserve">1. Purpose and scope</w:t>
      </w:r>
    </w:p>
    <w:p>
      <w:pPr>
        <w:spacing w:after="120"/>
      </w:pPr>
      <w:r>
        <w:rPr>
          <w:sz w:val="21"/>
          <w:szCs w:val="21"/>
        </w:rPr>
        <w:t xml:space="preserve">The Spine Quality &amp; Outcomes System is a clinical quality-improvement application for a multidisciplinary spine clinic treating cervical, thoracic, lumbar, and spinal-deformity conditions. It is designed to answer five questions: whether patients receive timely and appropriate care; whether they improve in pain, function, and quality of life; whether procedures are performed safely; where patients are lost in the care pathway; and which quality-improvement opportunities require action.</w:t>
      </w:r>
    </w:p>
    <w:p>
      <w:pPr>
        <w:spacing w:after="120"/>
      </w:pPr>
      <w:r>
        <w:rPr>
          <w:sz w:val="21"/>
          <w:szCs w:val="21"/>
        </w:rPr>
        <w:t xml:space="preserve">It is a quality-improvement system, not a generic analytics display: every metric carries its denominator and definition, red indicators always resolve to the list of responsible patients, thresholds are governed rather than hard-coded, and the Care-Pathway Tracker turns findings into owned, dated actions.</w:t>
      </w:r>
    </w:p>
    <w:p>
      <w:pPr>
        <w:pStyle w:val="Heading2"/>
        <w:spacing w:after="100" w:before="240"/>
      </w:pPr>
      <w:r>
        <w:t xml:space="preserve">1.1 Users and roles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1100"/>
        <w:gridCol w:w="1560"/>
      </w:tblGrid>
      <w:tr>
        <w:trPr>
          <w:tblHeader/>
        </w:trPr>
        <w:tc>
          <w:tcPr>
            <w:tcW w:type="dxa" w:w="32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38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Primary pages</w:t>
            </w:r>
          </w:p>
        </w:tc>
        <w:tc>
          <w:tcPr>
            <w:tcW w:type="dxa" w:w="11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Export</w:t>
            </w:r>
          </w:p>
        </w:tc>
        <w:tc>
          <w:tcPr>
            <w:tcW w:type="dxa" w:w="156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Clinician (surgeon, physiatrist, APC, nurse)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Executive, Outcomes, Surgical, Nonsurgical, Pathway, Registry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Quality administrator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pages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measures &amp; thresholds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 manager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Executive, Pathway, Operations, Registry, Data Quality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Research analyst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Outcomes, Surgical, Nonsurgical, Registry, Data Quality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Data-entry user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Registry, Data Quality, Pathway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executive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Executive only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1"/>
        <w:spacing w:after="120" w:before="320"/>
      </w:pPr>
      <w:r>
        <w:rPr>
          <w:color w:val="155E9E"/>
        </w:rPr>
        <w:t xml:space="preserve">2. Architecture</w:t>
      </w:r>
    </w:p>
    <w:p>
      <w:pPr>
        <w:spacing w:after="120"/>
      </w:pPr>
      <w:r>
        <w:rPr>
          <w:sz w:val="21"/>
          <w:szCs w:val="21"/>
        </w:rPr>
        <w:t xml:space="preserve">Three layers with strict separation so the pilot can grow into production without rework: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Presentation — responsive web application (desktop and tablet). Prototype: modular vanilla-JS single-page app that runs from a folder with no build step. Production: Next.js 14 + TypeScript + React, same page 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Logic — a declarative measure engine (numerator/denominator/exclusions/target/versions evaluated against the data layer), a statistics library (means, medians, SD, IQR, Wilson 95% confidence intervals, p-chart and XmR control limits), and PROM computation (change, % improvement, MCID, PASS, deterioration, window compliance) driven entirely by the administrator-controlled threshold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 — a repository interface with swappable adapters. Pilot: PostgreSQL loaded by CSV/Excel import with row-level validation. Later adapters: Athenahealth API, hospital data warehouse, PROMIS assessment center/PROM vendor, REDCap, billing extracts, scheduling feeds. Identifiers live in a restricted PHI schema; analytical tables carry surrogate keys only.</w:t>
      </w:r>
    </w:p>
    <w:p>
      <w:pPr>
        <w:pStyle w:val="Heading2"/>
        <w:spacing w:after="100" w:before="240"/>
      </w:pPr>
      <w:r>
        <w:t xml:space="preserve">2.1 Recommended production stack and rationale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760"/>
      </w:tblGrid>
      <w:tr>
        <w:trPr>
          <w:tblHeader/>
        </w:trPr>
        <w:tc>
          <w:tcPr>
            <w:tcW w:type="dxa" w:w="15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34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Choice</w:t>
            </w:r>
          </w:p>
        </w:tc>
        <w:tc>
          <w:tcPr>
            <w:tcW w:type="dxa" w:w="476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Next.js 14, TypeScript, React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Server-side rendering for fast first paint, file-based routing matching the page map, mature ecosystem, easy to staff.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Recharts (or Chart.js)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Declarative, accessible, avoids hand-rolled D3 maintenance.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Next.js API routes (tRPC or REST) with Zod validation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deployable unit for a clinic pilot; schema-validated payloads.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PostgreSQL 15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Relational integrity for episode-centric data, row-level security, JSONB for measure version snapshots, ubiquitous hosting.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Auth.js or Keycloak with OIDC; SSO to hospital IdP when available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claims drive page visibility and export rights; session timeout and MFA supported.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Imports/exports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SheetJS (xlsx), csv-parse; server-side generation of PDF (Playwright print) and Excel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Validated bulk load before EHR integration; printable quality reports.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Hosting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HIPAA-eligible cloud (AWS/Azure/GCP) with BAA, or on-premises hospital VM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Encryption in transit (TLS 1.2+) and at rest; nightly encrypted backups; WAL archiving.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Integration layer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Adapter modules per source with load-batch provenance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Each feed lands through the same validation pipeline; source and refresh time displayed in-app.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Rationale for not choosing a BI tool (Tableau/Power BI): the requirement is a workflow system — worklists with owners and due dates, measure governance with version history, threshold administration, drill-down to patient timelines — not only visualization. BI tools can supplement later against the same PostgreSQL schema.</w:t>
      </w:r>
    </w:p>
    <w:p>
      <w:pPr>
        <w:pStyle w:val="Heading1"/>
        <w:spacing w:after="120" w:before="320"/>
      </w:pPr>
      <w:r>
        <w:rPr>
          <w:color w:val="155E9E"/>
        </w:rPr>
        <w:t xml:space="preserve">3. Minimum viable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Eight dashboard pages plus Measure Builder and Threshold administration, exactly as wireframed.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CSV/Excel import with row-level validation and rejection reporting; CSV/Excel export of registries, worklists, and issue lists; printable report styling.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Six seed measures (M1–M6) computed live; measure engine supports admin-defined draft measures.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Role-based page visibility and export gating; audit log of imports, exports, filter changes, and admin edits.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Synthetic demonstration dataset, clearly labeled on every screen.</w:t>
      </w:r>
    </w:p>
    <w:p>
      <w:pPr>
        <w:spacing w:after="120"/>
      </w:pPr>
      <w:r>
        <w:rPr>
          <w:sz w:val="21"/>
          <w:szCs w:val="21"/>
        </w:rPr>
        <w:t xml:space="preserve">Explicitly out of MVP: production authentication/SSO, EHR integration, risk-adjusted comparisons (placeholders and methodology notes only), automated outreach (email/SMS), third-next-available and other metrics requiring scheduling/authorization/OR feeds (shown as labeled blanks, never estimated).</w:t>
      </w:r>
    </w:p>
    <w:p>
      <w:pPr>
        <w:pStyle w:val="Heading1"/>
        <w:spacing w:after="120" w:before="320"/>
      </w:pPr>
      <w:r>
        <w:rPr>
          <w:color w:val="155E9E"/>
        </w:rPr>
        <w:t xml:space="preserve">4. Page and navigation map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1400"/>
        <w:gridCol w:w="5060"/>
      </w:tblGrid>
      <w:tr>
        <w:trPr>
          <w:tblHeader/>
        </w:trPr>
        <w:tc>
          <w:tcPr>
            <w:tcW w:type="dxa" w:w="5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Page</w:t>
            </w:r>
          </w:p>
        </w:tc>
        <w:tc>
          <w:tcPr>
            <w:tcW w:type="dxa" w:w="14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506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Core content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Executive Overview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Dashboards</w:t>
            </w:r>
          </w:p>
        </w:tc>
        <w:tc>
          <w:tcPr>
            <w:tcW w:type="dxa" w:w="5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 KPI tiles with denominators/CI/RAG-when-thresholded; 12-month volume trends; every red links to responsible episodes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 Outcomes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Dashboards</w:t>
            </w:r>
          </w:p>
        </w:tc>
        <w:tc>
          <w:tcPr>
            <w:tcW w:type="dxa" w:w="5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Longitudinal PROM trajectories with per-timepoint n; cohort filters; MCID/deterioration/completion summary table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Surgical Quality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Dashboards</w:t>
            </w:r>
          </w:p>
        </w:tc>
        <w:tc>
          <w:tcPr>
            <w:tcW w:type="dxa" w:w="5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Complication profile, process metrics, alphabetical surgeon table with case mix and CIs, case-level review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Nonsurgical Quality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Dashboards</w:t>
            </w:r>
          </w:p>
        </w:tc>
        <w:tc>
          <w:tcPr>
            <w:tcW w:type="dxa" w:w="5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Conservative-care funnel, injection response, opioid exposure, escalation, worsening patients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Care-Pathway Tracker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5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Derived worklist: 10 categories, each item with owner, due date, status, recommended next action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5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metrics, p-control chart for 14-day access, labeled placeholders for feeds not yet integrated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 Registry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5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Searchable episode table; row click opens full patient timeline; import/export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</w:t>
            </w:r>
          </w:p>
        </w:tc>
        <w:tc>
          <w:tcPr>
            <w:tcW w:type="dxa" w:w="5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Errors/warnings/info counts, categorized issues, import history, audit log, source and refresh stamps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Measure Builder &amp; Thresholds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</w:t>
            </w:r>
          </w:p>
        </w:tc>
        <w:tc>
          <w:tcPr>
            <w:tcW w:type="dxa" w:w="5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Governed measure definitions with versions; new-measure drafts; MCID/PASS threshold administration</w:t>
            </w:r>
          </w:p>
        </w:tc>
      </w:tr>
    </w:tbl>
    <w:p>
      <w:pPr>
        <w:pStyle w:val="Heading1"/>
        <w:spacing w:after="120" w:before="320"/>
      </w:pPr>
      <w:r>
        <w:rPr>
          <w:color w:val="155E9E"/>
        </w:rPr>
        <w:t xml:space="preserve">5. User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Monthly quality cycle — analyst imports/refreshes data → Data Quality page issues fixed by data-entry user → quality administrator reviews Executive and measure pages → red tiles drilled to episode lists → findings become worklist assignments → quality committee reviews printable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Weekly care-coordination huddle — Care-Pathway Tracker filtered by category; each overdue item gets an owner and outcome; export to CSV for the huddle worksheet.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Clinician review — surgeon opens Surgical Quality filtered to own cases; case-level table supports M&amp;M preparation; patient timeline gives full context in two clicks.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Outcomes program — outcomes coordinator works the Overdue PROMs category daily; portal request first, phone outreach after 7 days; window compliance tracked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Measure governance — new measures start as Drafts in the builder; analyst maps data; clinical committee approves definition and thresholds; version history records every change.</w:t>
      </w:r>
    </w:p>
    <w:p>
      <w:pPr>
        <w:pStyle w:val="Heading1"/>
        <w:spacing w:after="120" w:before="320"/>
      </w:pPr>
      <w:r>
        <w:rPr>
          <w:color w:val="155E9E"/>
        </w:rPr>
        <w:t xml:space="preserve">6. Security and governance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HIPAA-eligible hosting under BAA; TLS 1.2+ in transit; AES-256 at rest; nightly encrypted backups with quarterly restore tests; WAL archiving for point-in-time recovery.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Role-based access with least privilege (matrix in §1.1); PHI schema separated from analytical schema with independent grants; row-level security enabled.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Append-only audit log covering logins, views of patient-level data, imports, exports, and every measure/threshold edit; 7-year retention; session timeout 15 minutes with re-authentication.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 retention: rejected import payloads 90 days; audit 7 years; clinical data per clinic policy. De-identified analytical extracts for research require research-analyst role and are logged.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Administrator-controlled measure definitions and MCID/PASS thresholds with mandatory version history; edits reset approval status to pending.</w:t>
      </w:r>
    </w:p>
    <w:p>
      <w:pPr>
        <w:pStyle w:val="Heading1"/>
        <w:spacing w:after="120" w:before="320"/>
      </w:pPr>
      <w:r>
        <w:rPr>
          <w:color w:val="155E9E"/>
        </w:rPr>
        <w:t xml:space="preserve">7. Phased implementation plan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3980"/>
        <w:gridCol w:w="2280"/>
      </w:tblGrid>
      <w:tr>
        <w:trPr>
          <w:tblHeader/>
        </w:trPr>
        <w:tc>
          <w:tcPr>
            <w:tcW w:type="dxa" w:w="21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13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Timeline</w:t>
            </w:r>
          </w:p>
        </w:tc>
        <w:tc>
          <w:tcPr>
            <w:tcW w:type="dxa" w:w="398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228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Exit criteria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— Prototype validation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Weeks 1–4</w:t>
            </w:r>
          </w:p>
        </w:tc>
        <w:tc>
          <w:tcPr>
            <w:tcW w:type="dxa" w:w="39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 prototype with synthetic data; clinical review of definitions, thresholds, wireframes; decisions list (§8) resolved</w:t>
            </w:r>
          </w:p>
        </w:tc>
        <w:tc>
          <w:tcPr>
            <w:tcW w:type="dxa" w:w="22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Signed-off measure definitions and threshold table v1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— Pilot with historical CSVs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Weeks 5–12</w:t>
            </w:r>
          </w:p>
        </w:tc>
        <w:tc>
          <w:tcPr>
            <w:tcW w:type="dxa" w:w="39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PostgreSQL + auth deployed; 24 months of historical data imported via CSV; parallel manual validation of every measure against chart review samples</w:t>
            </w:r>
          </w:p>
        </w:tc>
        <w:tc>
          <w:tcPr>
            <w:tcW w:type="dxa" w:w="22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Measures match manual audit within agreed tolerance; data-quality error rate &lt; 2%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— Live operations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Months 4–6</w:t>
            </w:r>
          </w:p>
        </w:tc>
        <w:tc>
          <w:tcPr>
            <w:tcW w:type="dxa" w:w="39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Weekly imports; worklist in daily use; PROM collection workflow (portal/tablet) feeding imports; first quarterly quality report</w:t>
            </w:r>
          </w:p>
        </w:tc>
        <w:tc>
          <w:tcPr>
            <w:tcW w:type="dxa" w:w="22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Worklist categories worked to &lt; 10% overdue; PROM completion trend established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— Integration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Months 6–12</w:t>
            </w:r>
          </w:p>
        </w:tc>
        <w:tc>
          <w:tcPr>
            <w:tcW w:type="dxa" w:w="39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Athenahealth/warehouse adapters (demographics, scheduling, referrals), PROM vendor or REDCap API, authorization feed; blank Operations tiles activate</w:t>
            </w:r>
          </w:p>
        </w:tc>
        <w:tc>
          <w:tcPr>
            <w:tcW w:type="dxa" w:w="22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Automated refresh; manual imports retired except research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— Risk adjustment &amp; comparison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Months 12+</w:t>
            </w:r>
          </w:p>
        </w:tc>
        <w:tc>
          <w:tcPr>
            <w:tcW w:type="dxa" w:w="39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Case-mix model developed with biostatistics support; risk-adjusted views added alongside raw; external benchmark mapping (e.g., registry participation)</w:t>
            </w:r>
          </w:p>
        </w:tc>
        <w:tc>
          <w:tcPr>
            <w:tcW w:type="dxa" w:w="22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Clinically approved model; adjusted and raw shown separately</w:t>
            </w:r>
          </w:p>
        </w:tc>
      </w:tr>
    </w:tbl>
    <w:p>
      <w:pPr>
        <w:pStyle w:val="Heading1"/>
        <w:spacing w:after="120" w:before="320"/>
      </w:pPr>
      <w:r>
        <w:rPr>
          <w:color w:val="155E9E"/>
        </w:rPr>
        <w:t xml:space="preserve">8. Decisions requiring clinical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MCID and PASS values per instrument and population (the shipped defaults are placeholders; see companion measure document).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PROM timepoint windows (proposed: 6w ±2w, 3m ±3w, 6m ±6w, 12m ±8w, 24m ±12w) and the anchor rule (procedure date for surgical, first appointment for nonsurgical episodes).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Definition of 'lost to follow-up' (proposed: no contact for 6 months past expected visit despite two outreach attempts).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'Unplanned' readmission/reoperation adjudication rules and who adjudicates (proposed: quality nurse with surgeon confirmation).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Complication severity scale (proposed 4-level scale vs Clavien-Dindo) and preventability categories.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Access target (14 days proposed) and warning threshold; PROM completion target.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Opioid-duration threshold for the amber flag (6 weeks proposed).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Which measures may appear in externally shared reports versus internal QI only.</w:t>
      </w:r>
    </w:p>
    <w:p>
      <w:pPr>
        <w:pStyle w:val="Heading1"/>
        <w:spacing w:after="120" w:before="320"/>
      </w:pPr>
      <w:r>
        <w:rPr>
          <w:color w:val="155E9E"/>
        </w:rPr>
        <w:t xml:space="preserve">9. Measures NOT to implement until definitions are validated</w:t>
      </w:r>
    </w:p>
    <w:p>
      <w:pPr>
        <w:shd w:fill="FDF3DD" w:val="clear"/>
        <w:spacing w:after="140"/>
      </w:pPr>
      <w:r>
        <w:rPr>
          <w:i/>
          <w:iCs/>
          <w:sz w:val="20"/>
          <w:szCs w:val="20"/>
        </w:rPr>
        <w:t xml:space="preserve">These appear in the interface only as display-only or labeled placeholders. Publishing them prematurely would create misleading or indefensible numbers.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MCID achievement rates (M2) as a performance measure — requires locally validated thresholds per instrument and population; currently display-only.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 achievement — validated thresholds exist for only some instruments; compute only where the threshold table has an approved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Risk-adjusted surgeon comparisons and any ranking — requires the Phase-4 case-mix model, adequate volumes (n ≥ 10 minimum, ideally ≥ 30), and committee-approved presentation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30-day 'unplanned' readmission as an externally reported rate — until adjudication workflow distinguishes planned staged returns.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Injection 'response rate' as an effectiveness claim — observed improvement conflates natural history; report descriptively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Third-next-available appointment, prior-auth turnaround, OR cancellation rate, documentation completion, portal response time — require source-system feeds; never estimate.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Patient-satisfaction comparisons between providers — survey volumes per provider are below reliable sample sizes.</w:t>
      </w:r>
    </w:p>
    <w:p>
      <w:pPr>
        <w:pStyle w:val="Heading1"/>
        <w:spacing w:after="120" w:before="320"/>
      </w:pPr>
      <w:r>
        <w:rPr>
          <w:color w:val="155E9E"/>
        </w:rPr>
        <w:t xml:space="preserve">10.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Single clinic, two locations, roughly 100–300 new episodes per quarter; volumes below n=10 suppress comparisons and flag tiles.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Instrument directions: higher is better for PROMIS Physical Function, Social Roles, SRS-22r; lower is better for Pain Interference, Fatigue, Anxiety, Depression, ODI, NDI, pain NRS.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Episodes are the unit of analysis; a patient may have multiple episodes (e.g., cervical and lumbar).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PROM clock anchors to surgery when a procedure occurs, otherwise to the first appointment.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prototype's synthetic data is deterministic (seed 20260701) so the clinic can hand-validate every calculation.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2026-07-22T15:34:37.636Z</dcterms:created>
  <dcterms:modified xsi:type="dcterms:W3CDTF">2026-07-22T15:34:37.636Z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