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55E9E"/>
          <w:sz w:val="52"/>
          <w:szCs w:val="52"/>
        </w:rPr>
        <w:t xml:space="preserve">Quality Measure Definitions &amp; Calculation Logic</w:t>
      </w:r>
    </w:p>
    <w:p>
      <w:pPr>
        <w:spacing w:after="300"/>
        <w:jc w:val="center"/>
      </w:pPr>
      <w:r>
        <w:rPr>
          <w:color w:val="4C5B6B"/>
          <w:sz w:val="26"/>
          <w:szCs w:val="26"/>
        </w:rPr>
        <w:t xml:space="preserve">Spine Quality &amp; Outcomes System</w:t>
      </w:r>
    </w:p>
    <w:p>
      <w:pPr>
        <w:jc w:val="center"/>
      </w:pPr>
      <w:r>
        <w:rPr>
          <w:color w:val="71808F"/>
          <w:sz w:val="22"/>
          <w:szCs w:val="22"/>
        </w:rPr>
        <w:t xml:space="preserve">Multidisciplinary Spine Clinic · Version 1.0 · July 2026</w:t>
      </w:r>
    </w:p>
    <w:p>
      <w:pPr>
        <w:spacing w:before="200"/>
        <w:jc w:val="center"/>
      </w:pPr>
      <w:r>
        <w:rPr>
          <w:i/>
          <w:iCs/>
          <w:color w:val="9A6700"/>
          <w:sz w:val="20"/>
          <w:szCs w:val="20"/>
        </w:rPr>
        <w:t xml:space="preserve">DRAFT FOR CLINICAL AND OPERATIONAL REVIEW — contains no real patient data</w:t>
      </w:r>
    </w:p>
    <w:p>
      <w:r>
        <w:br w:type="page"/>
      </w:r>
    </w:p>
    <w:p>
      <w:pPr>
        <w:pStyle w:val="Heading1"/>
        <w:spacing w:after="120" w:before="320"/>
      </w:pPr>
      <w:r>
        <w:rPr>
          <w:color w:val="155E9E"/>
        </w:rPr>
        <w:t xml:space="preserve">1. Governance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measure appears on dashboards only with an explicit definition below; red/amber/green appears only when target AND warning thresholds are defined and n ≥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rate displays numerator/denominator and a Wilson 95% confidence interval; samples under n = 10 are flagged and excluded from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statistical-significance claims are made anywhere; intervals describe precision only. Association is never presented as causation. Provider views are alphabetical with case mix displayed; rankings are prohibited until risk adjustment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Edits to any definition or threshold create a version entry and reset approval status.</w:t>
      </w:r>
    </w:p>
    <w:p>
      <w:pPr>
        <w:pStyle w:val="Heading1"/>
        <w:spacing w:after="120" w:before="320"/>
      </w:pPr>
      <w:r>
        <w:rPr>
          <w:color w:val="155E9E"/>
        </w:rPr>
        <w:t xml:space="preserve">2. Initial measures (M1–M6), version 1.0 — pending clinical approval</w:t>
      </w:r>
    </w:p>
    <w:p>
      <w:pPr>
        <w:pStyle w:val="Heading2"/>
        <w:spacing w:after="100" w:before="240"/>
      </w:pPr>
      <w:r>
        <w:t xml:space="preserve">M1. Baseline PROM capture before surgery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Outcome measurement is only interpretable with a pre-treatment score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Surgical episodes with ≥1 baseline PROM collected on or before the procedure date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episodes with a completed spine procedure in the period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Inclusion / Exclusion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completed procedures / episodes without a 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≥90% · 80% (amber 80–90)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12 months · PROM + procedures tables · Outcomes coordinator · Monthly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(process measure)</w:t>
            </w:r>
          </w:p>
        </w:tc>
      </w:tr>
    </w:tbl>
    <w:p>
      <w:pPr>
        <w:pStyle w:val="Heading2"/>
        <w:spacing w:after="100" w:before="240"/>
      </w:pPr>
      <w:r>
        <w:t xml:space="preserve">M2. MCID achievement at 12 months — DISPLAY ONLY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 of surgical patients achieving a minimal clinically important difference on the region-appropriate primary instrument (ODI lumbar/thoracic, NDI cervical, SRS-22r deformity)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Episodes whose 12-month change meets the MCID in the administrator threshold table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Surgical episodes with paired baseline AND 12-month primary-instrument scores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either score — reported separately as follow-up completeness, never assumed improved or worsened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until thresholds validated — measure is display-only and excluded from external reporting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24 months · PROM + threshold tables · Quality administrator · Quarterly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stratification by region, revision status, comorbidity burden</w:t>
            </w:r>
          </w:p>
        </w:tc>
      </w:tr>
    </w:tbl>
    <w:p>
      <w:pPr>
        <w:pStyle w:val="Heading2"/>
        <w:spacing w:after="100" w:before="240"/>
      </w:pPr>
      <w:r>
        <w:t xml:space="preserve">M3. 30-day readmission after spine surgery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Procedures followed by inpatient readmission ≤30 days, adjudicated events only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 procedures with ≥30 days follow-up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staged returns (requires adjudication flag readmission_planned)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≤5% · 4% (amber 4–5)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12 months · Complications table · Quality nurse · Monthly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Unadjusted at pilot; interpret with case mix; model in Phase 4</w:t>
            </w:r>
          </w:p>
        </w:tc>
      </w:tr>
    </w:tbl>
    <w:p>
      <w:pPr>
        <w:pStyle w:val="Heading2"/>
        <w:spacing w:after="100" w:before="240"/>
      </w:pPr>
      <w:r>
        <w:t xml:space="preserve">M4. 90-day reoperation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Procedures followed by unplanned return to OR ≤90 days, adjudicated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 procedures with ≥90 days follow-up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staged procedures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≤3% · 2.5%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12 months · Complications · Quality nurse · Monthly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Unadjusted at pilot</w:t>
            </w:r>
          </w:p>
        </w:tc>
      </w:tr>
    </w:tbl>
    <w:p>
      <w:pPr>
        <w:pStyle w:val="Heading2"/>
        <w:spacing w:after="100" w:before="240"/>
      </w:pPr>
      <w:r>
        <w:t xml:space="preserve">M5. New patients seen within 14 days of referral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Episodes with first appointment ≤14 calendar days after referral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episodes with a recorded first appointment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first-appointment date (surfaces in Data Quality instead)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≥80% · 70%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6 months · Episodes · Clinic manager · Monthly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(access measure)</w:t>
            </w:r>
          </w:p>
        </w:tc>
      </w:tr>
    </w:tbl>
    <w:p>
      <w:pPr>
        <w:pStyle w:val="Heading2"/>
        <w:spacing w:after="100" w:before="240"/>
      </w:pPr>
      <w:r>
        <w:t xml:space="preserve">M6. Postoperative patients lost to follow-up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60"/>
      </w:tblGrid>
      <w:tr>
        <w:trPr>
          <w:tblHeader/>
        </w:trPr>
        <w:tc>
          <w:tcPr>
            <w:tcW w:type="dxa" w:w="24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2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Surgical episodes with status Lost to follow-up (proposed: no contact 6 months past expected visit after two outreach attempts)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Denominator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surgical episodes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· Warning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≤10% · 15% (amber 10–15)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Period · Source · Owner · Review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Rolling 24 months · Episodes + pathway · Care navigator · Monthly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adjustment</w:t>
            </w:r>
          </w:p>
        </w:tc>
        <w:tc>
          <w:tcPr>
            <w:tcW w:type="dxa" w:w="7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1"/>
        <w:spacing w:after="120" w:before="320"/>
      </w:pPr>
      <w:r>
        <w:rPr>
          <w:color w:val="155E9E"/>
        </w:rPr>
        <w:t xml:space="preserve">3. PROM calculation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Anchor date: procedure date when the episode has a completed procedure, else first appointment. Due date = anchor + offset (42, 91, 182, 365, 730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Change = follow-up − baseline (native units). Improvement = change × direction (so improvement is positive when the patient got better regardless of instrument direction). % improvement = improvement ÷ |baseline| ×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MCID met = improvement ≥ MCID from the threshold table row matching instrument (population match planned). No table row → MCID not computed (shown as —, never guessed).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 met = follow-up score on the acceptable side of pass_threshold; computed only when a validated PASS exists in the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Deterioration = improvement ≤ −MCID (worsening at least the MCID magnitude); triggers a Care-Pathway worklist item for clinician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Window compliance = |collected − due| ≤ window; out-of-window scores excluded from timepoint aggregates, retained in timelines with an Info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Missing/overdue: not collected and now past window ⇒ Overdue (worklist + completion denominator); window not yet open ⇒ Not yet due (excluded from denominators).</w:t>
      </w:r>
    </w:p>
    <w:p>
      <w:pPr>
        <w:pStyle w:val="Heading1"/>
        <w:spacing w:after="120" w:before="320"/>
      </w:pPr>
      <w:r>
        <w:rPr>
          <w:color w:val="155E9E"/>
        </w:rPr>
        <w:t xml:space="preserve">4. Statistical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Proportions: Wilson score 95% CI (preferred over normal approximation at clinic sample sizes).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Continuous: mean, median, SD, IQR; mean CIs via t-multiplier under n=30.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Control charts: p-charts for monthly proportions with 3σ limits around the aggregate centerline and varying n; XmR for continuous streams. Points outside limits = special-cause signals for investigation; inside = common-cause variation, no one-off reactions.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Minimum sample size: comparisons suppressed and flagged below n = 10 (committee may raise this).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Trends are descriptive. Formal testing (e.g., for a QI project) uses pre-specified analysis with biostatistics support — the dashboard does not auto-generate p-values.</w:t>
      </w:r>
    </w:p>
    <w:p>
      <w:pPr>
        <w:pStyle w:val="Heading1"/>
        <w:spacing w:after="120" w:before="320"/>
      </w:pPr>
      <w:r>
        <w:rPr>
          <w:color w:val="155E9E"/>
        </w:rPr>
        <w:t xml:space="preserve">5. Shipped MCID/PASS defaults (ALL pending local validation)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900"/>
        <w:gridCol w:w="900"/>
        <w:gridCol w:w="1300"/>
        <w:gridCol w:w="2860"/>
      </w:tblGrid>
      <w:tr>
        <w:trPr>
          <w:tblHeader/>
        </w:trPr>
        <w:tc>
          <w:tcPr>
            <w:tcW w:type="dxa" w:w="19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Instrument</w:t>
            </w:r>
          </w:p>
        </w:tc>
        <w:tc>
          <w:tcPr>
            <w:tcW w:type="dxa" w:w="18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Population</w:t>
            </w:r>
          </w:p>
        </w:tc>
        <w:tc>
          <w:tcPr>
            <w:tcW w:type="dxa" w:w="9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MCID</w:t>
            </w:r>
          </w:p>
        </w:tc>
        <w:tc>
          <w:tcPr>
            <w:tcW w:type="dxa" w:w="9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860"/>
            <w:shd w:fill="E8F1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Lumbar surgery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Literature range 10–15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Cervical surgery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Literature range 5.5–10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PROMIS-PF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 (all)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Literature range 3.5–5.5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PROMIS-PI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 (all)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Literature range 3.5–5.5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PROMIS-SR / FA / AX / DE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 (all)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instrument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Provisional defaults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SRS-22r total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Adult deformity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Provisional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NRS pain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Spine (all)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decrease</w:t>
            </w:r>
          </w:p>
        </w:tc>
        <w:tc>
          <w:tcPr>
            <w:tcW w:type="dxa" w:w="28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Literature range 1.5–2.5</w:t>
            </w:r>
          </w:p>
        </w:tc>
      </w:tr>
    </w:tbl>
    <w:p>
      <w:pPr>
        <w:shd w:fill="FDF3DD" w:val="clear"/>
        <w:spacing w:after="140"/>
      </w:pPr>
      <w:r>
        <w:rPr>
          <w:i/>
          <w:iCs/>
          <w:sz w:val="20"/>
          <w:szCs w:val="20"/>
        </w:rPr>
        <w:t xml:space="preserve">These defaults exist so the prototype can demonstrate calculations. The application labels all MCID/PASS output as demonstration until each row is approved. Approving, changing, or localizing them is the clinical committee's first governance task (see Decisions list in the Product Specification).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2026-07-22T15:34:37.705Z</dcterms:created>
  <dcterms:modified xsi:type="dcterms:W3CDTF">2026-07-22T15:34:37.705Z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