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4E79"/>
          <w:sz w:val="40"/>
          <w:szCs w:val="40"/>
        </w:rPr>
        <w:t xml:space="preserve">Cryptocurrency Volatility Prediction</w:t>
      </w:r>
    </w:p>
    <w:p>
      <w:pPr>
        <w:spacing w:after="600" w:before="0"/>
        <w:jc w:val="center"/>
      </w:pPr>
      <w:r>
        <w:rPr>
          <w:rFonts w:ascii="Arial" w:cs="Arial" w:eastAsia="Arial" w:hAnsi="Arial"/>
          <w:b/>
          <w:bCs/>
          <w:color w:val="555555"/>
          <w:sz w:val="28"/>
          <w:szCs w:val="28"/>
        </w:rPr>
        <w:t xml:space="preserve">Final Project Report</w:t>
      </w:r>
    </w:p>
    <w:p>
      <w:pPr>
        <w:pStyle w:val="Heading1"/>
        <w:spacing w:after="20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project developed a complete machine learning pipeline to predict cryptocurrency volatility — a critical metric for risk management and trading strategy development. Using historical daily OHLC price data, volume, and market capitalisation for over 50 cryptocurrencies, we engineered 16 features including rolling volatility, Bollinger Band width, Average True Range, and liquidity ratios.</w:t>
      </w:r>
    </w:p>
    <w:p>
      <w:pPr>
        <w:spacing w:after="80" w:before="80"/>
      </w:pPr>
      <w:r>
        <w:rPr>
          <w:rFonts w:ascii="Arial" w:cs="Arial" w:eastAsia="Arial" w:hAnsi="Arial"/>
          <w:sz w:val="22"/>
          <w:szCs w:val="22"/>
        </w:rPr>
        <w:t xml:space="preserve">Three models were trained and evaluated: Random Forest, XGBoost, and a two-layer LSTM. XGBoost achieved the best balance of accuracy and inference speed and was selected as the production model. A Streamlit web application was deployed for interactive prediction queries.</w:t>
      </w:r>
    </w:p>
    <w:p>
      <w:pPr>
        <w:pStyle w:val="Heading1"/>
        <w:spacing w:after="200" w:before="360"/>
      </w:pPr>
      <w:r>
        <w:rPr>
          <w:rFonts w:ascii="Arial" w:cs="Arial" w:eastAsia="Arial" w:hAnsi="Arial"/>
          <w:b/>
          <w:bCs/>
          <w:color w:val="1F4E79"/>
          <w:sz w:val="32"/>
          <w:szCs w:val="32"/>
        </w:rPr>
        <w:t xml:space="preserve">2. Problem Statement</w:t>
      </w:r>
    </w:p>
    <w:p>
      <w:pPr>
        <w:spacing w:after="80" w:before="80"/>
      </w:pPr>
      <w:r>
        <w:rPr>
          <w:rFonts w:ascii="Arial" w:cs="Arial" w:eastAsia="Arial" w:hAnsi="Arial"/>
          <w:sz w:val="22"/>
          <w:szCs w:val="22"/>
        </w:rPr>
        <w:t xml:space="preserve">Cryptocurrency markets are characterised by extreme price fluctuations. High volatility creates both significant risk and opportunity for traders. Accurate volatility prediction allows:</w:t>
      </w:r>
    </w:p>
    <w:p>
      <w:pPr>
        <w:spacing w:after="60" w:before="60"/>
        <w:ind w:left="400"/>
      </w:pPr>
      <w:r>
        <w:rPr>
          <w:rFonts w:ascii="Arial" w:cs="Arial" w:eastAsia="Arial" w:hAnsi="Arial"/>
          <w:sz w:val="22"/>
          <w:szCs w:val="22"/>
        </w:rPr>
        <w:t xml:space="preserve">• Traders to adjust position sizes before high-volatility periods</w:t>
      </w:r>
    </w:p>
    <w:p>
      <w:pPr>
        <w:spacing w:after="60" w:before="60"/>
        <w:ind w:left="400"/>
      </w:pPr>
      <w:r>
        <w:rPr>
          <w:rFonts w:ascii="Arial" w:cs="Arial" w:eastAsia="Arial" w:hAnsi="Arial"/>
          <w:sz w:val="22"/>
          <w:szCs w:val="22"/>
        </w:rPr>
        <w:t xml:space="preserve">• Portfolio managers to rebalance allocation across assets</w:t>
      </w:r>
    </w:p>
    <w:p>
      <w:pPr>
        <w:spacing w:after="60" w:before="60"/>
        <w:ind w:left="400"/>
      </w:pPr>
      <w:r>
        <w:rPr>
          <w:rFonts w:ascii="Arial" w:cs="Arial" w:eastAsia="Arial" w:hAnsi="Arial"/>
          <w:sz w:val="22"/>
          <w:szCs w:val="22"/>
        </w:rPr>
        <w:t xml:space="preserve">• Financial institutions to set risk limits and margin requirements</w:t>
      </w:r>
    </w:p>
    <w:p>
      <w:pPr>
        <w:spacing w:after="60" w:before="60"/>
        <w:ind w:left="400"/>
      </w:pPr>
      <w:r>
        <w:rPr>
          <w:rFonts w:ascii="Arial" w:cs="Arial" w:eastAsia="Arial" w:hAnsi="Arial"/>
          <w:sz w:val="22"/>
          <w:szCs w:val="22"/>
        </w:rPr>
        <w:t xml:space="preserve">• Quantitative funds to time entry/exit signals in volatility strategies</w:t>
      </w:r>
    </w:p>
    <w:p>
      <w:pPr>
        <w:spacing w:after="80" w:before="80"/>
      </w:pPr>
      <w:r>
        <w:rPr>
          <w:rFonts w:ascii="Arial" w:cs="Arial" w:eastAsia="Arial" w:hAnsi="Arial"/>
          <w:sz w:val="22"/>
          <w:szCs w:val="22"/>
        </w:rPr>
        <w:t xml:space="preserve">The objective was to predict annualised 14-day rolling volatility using historical market data, framed as a supervised regression problem.</w:t>
      </w:r>
    </w:p>
    <w:p>
      <w:pPr>
        <w:pStyle w:val="Heading1"/>
        <w:spacing w:after="200" w:before="360"/>
      </w:pPr>
      <w:r>
        <w:rPr>
          <w:rFonts w:ascii="Arial" w:cs="Arial" w:eastAsia="Arial" w:hAnsi="Arial"/>
          <w:b/>
          <w:bCs/>
          <w:color w:val="1F4E79"/>
          <w:sz w:val="32"/>
          <w:szCs w:val="32"/>
        </w:rPr>
        <w:t xml:space="preserve">3. Dataset</w:t>
      </w:r>
    </w:p>
    <w:p>
      <w:pPr>
        <w:pStyle w:val="Heading2"/>
        <w:spacing w:after="140" w:before="240"/>
      </w:pPr>
      <w:r>
        <w:rPr>
          <w:rFonts w:ascii="Arial" w:cs="Arial" w:eastAsia="Arial" w:hAnsi="Arial"/>
          <w:b/>
          <w:bCs/>
          <w:color w:val="2E75B6"/>
          <w:sz w:val="26"/>
          <w:szCs w:val="26"/>
        </w:rPr>
        <w:t xml:space="preserve">3.1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Attribute</w:t>
            </w:r>
          </w:p>
        </w:tc>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Detail</w:t>
            </w:r>
          </w:p>
        </w:tc>
      </w:tr>
      <w:tr>
        <w:tc>
          <w:tcPr>
            <w:shd w:fill="F2F2F2" w:val="solid"/>
            <w:tcMar>
              <w:top w:type="dxa" w:w="80"/>
              <w:left w:type="dxa" w:w="100"/>
              <w:bottom w:type="dxa" w:w="80"/>
              <w:right w:type="dxa" w:w="100"/>
            </w:tcMar>
          </w:tcPr>
          <w:p>
            <w:r>
              <w:rPr>
                <w:rFonts w:ascii="Arial" w:cs="Arial" w:eastAsia="Arial" w:hAnsi="Arial"/>
                <w:sz w:val="20"/>
                <w:szCs w:val="20"/>
              </w:rPr>
              <w:t xml:space="preserve">Source</w:t>
            </w:r>
          </w:p>
        </w:tc>
        <w:tc>
          <w:tcPr>
            <w:shd w:fill="F2F2F2" w:val="solid"/>
            <w:tcMar>
              <w:top w:type="dxa" w:w="80"/>
              <w:left w:type="dxa" w:w="100"/>
              <w:bottom w:type="dxa" w:w="80"/>
              <w:right w:type="dxa" w:w="100"/>
            </w:tcMar>
          </w:tcPr>
          <w:p>
            <w:r>
              <w:rPr>
                <w:rFonts w:ascii="Arial" w:cs="Arial" w:eastAsia="Arial" w:hAnsi="Arial"/>
                <w:sz w:val="20"/>
                <w:szCs w:val="20"/>
              </w:rPr>
              <w:t xml:space="preserve">Cryptocurrency Historical Prices Dataset (Kaggle)</w:t>
            </w:r>
          </w:p>
        </w:tc>
      </w:tr>
      <w:tr>
        <w:tc>
          <w:tcPr>
            <w:shd/>
            <w:tcMar>
              <w:top w:type="dxa" w:w="80"/>
              <w:left w:type="dxa" w:w="100"/>
              <w:bottom w:type="dxa" w:w="80"/>
              <w:right w:type="dxa" w:w="100"/>
            </w:tcMar>
          </w:tcPr>
          <w:p>
            <w:r>
              <w:rPr>
                <w:rFonts w:ascii="Arial" w:cs="Arial" w:eastAsia="Arial" w:hAnsi="Arial"/>
                <w:sz w:val="20"/>
                <w:szCs w:val="20"/>
              </w:rPr>
              <w:t xml:space="preserve">Records</w:t>
            </w:r>
          </w:p>
        </w:tc>
        <w:tc>
          <w:tcPr>
            <w:shd/>
            <w:tcMar>
              <w:top w:type="dxa" w:w="80"/>
              <w:left w:type="dxa" w:w="100"/>
              <w:bottom w:type="dxa" w:w="80"/>
              <w:right w:type="dxa" w:w="100"/>
            </w:tcMar>
          </w:tcPr>
          <w:p>
            <w:r>
              <w:rPr>
                <w:rFonts w:ascii="Arial" w:cs="Arial" w:eastAsia="Arial" w:hAnsi="Arial"/>
                <w:sz w:val="20"/>
                <w:szCs w:val="20"/>
              </w:rPr>
              <w:t xml:space="preserve">Daily OHLCV data per cryptocurrency</w:t>
            </w:r>
          </w:p>
        </w:tc>
      </w:tr>
      <w:tr>
        <w:tc>
          <w:tcPr>
            <w:shd w:fill="F2F2F2" w:val="solid"/>
            <w:tcMar>
              <w:top w:type="dxa" w:w="80"/>
              <w:left w:type="dxa" w:w="100"/>
              <w:bottom w:type="dxa" w:w="80"/>
              <w:right w:type="dxa" w:w="100"/>
            </w:tcMar>
          </w:tcPr>
          <w:p>
            <w:r>
              <w:rPr>
                <w:rFonts w:ascii="Arial" w:cs="Arial" w:eastAsia="Arial" w:hAnsi="Arial"/>
                <w:sz w:val="20"/>
                <w:szCs w:val="20"/>
              </w:rPr>
              <w:t xml:space="preserve">Scope</w:t>
            </w:r>
          </w:p>
        </w:tc>
        <w:tc>
          <w:tcPr>
            <w:shd w:fill="F2F2F2" w:val="solid"/>
            <w:tcMar>
              <w:top w:type="dxa" w:w="80"/>
              <w:left w:type="dxa" w:w="100"/>
              <w:bottom w:type="dxa" w:w="80"/>
              <w:right w:type="dxa" w:w="100"/>
            </w:tcMar>
          </w:tcPr>
          <w:p>
            <w:r>
              <w:rPr>
                <w:rFonts w:ascii="Arial" w:cs="Arial" w:eastAsia="Arial" w:hAnsi="Arial"/>
                <w:sz w:val="20"/>
                <w:szCs w:val="20"/>
              </w:rPr>
              <w:t xml:space="preserve">50+ cryptocurrencies</w:t>
            </w:r>
          </w:p>
        </w:tc>
      </w:tr>
      <w:tr>
        <w:tc>
          <w:tcPr>
            <w:shd/>
            <w:tcMar>
              <w:top w:type="dxa" w:w="80"/>
              <w:left w:type="dxa" w:w="100"/>
              <w:bottom w:type="dxa" w:w="80"/>
              <w:right w:type="dxa" w:w="100"/>
            </w:tcMar>
          </w:tcPr>
          <w:p>
            <w:r>
              <w:rPr>
                <w:rFonts w:ascii="Arial" w:cs="Arial" w:eastAsia="Arial" w:hAnsi="Arial"/>
                <w:sz w:val="20"/>
                <w:szCs w:val="20"/>
              </w:rPr>
              <w:t xml:space="preserve">Features</w:t>
            </w:r>
          </w:p>
        </w:tc>
        <w:tc>
          <w:tcPr>
            <w:shd/>
            <w:tcMar>
              <w:top w:type="dxa" w:w="80"/>
              <w:left w:type="dxa" w:w="100"/>
              <w:bottom w:type="dxa" w:w="80"/>
              <w:right w:type="dxa" w:w="100"/>
            </w:tcMar>
          </w:tcPr>
          <w:p>
            <w:r>
              <w:rPr>
                <w:rFonts w:ascii="Arial" w:cs="Arial" w:eastAsia="Arial" w:hAnsi="Arial"/>
                <w:sz w:val="20"/>
                <w:szCs w:val="20"/>
              </w:rPr>
              <w:t xml:space="preserve">date, symbol, open, high, low, close, volume, market_cap</w:t>
            </w:r>
          </w:p>
        </w:tc>
      </w:tr>
      <w:tr>
        <w:tc>
          <w:tcPr>
            <w:shd w:fill="F2F2F2" w:val="solid"/>
            <w:tcMar>
              <w:top w:type="dxa" w:w="80"/>
              <w:left w:type="dxa" w:w="100"/>
              <w:bottom w:type="dxa" w:w="80"/>
              <w:right w:type="dxa" w:w="100"/>
            </w:tcMar>
          </w:tcPr>
          <w:p>
            <w:r>
              <w:rPr>
                <w:rFonts w:ascii="Arial" w:cs="Arial" w:eastAsia="Arial" w:hAnsi="Arial"/>
                <w:sz w:val="20"/>
                <w:szCs w:val="20"/>
              </w:rPr>
              <w:t xml:space="preserve">Target</w:t>
            </w:r>
          </w:p>
        </w:tc>
        <w:tc>
          <w:tcPr>
            <w:shd w:fill="F2F2F2" w:val="solid"/>
            <w:tcMar>
              <w:top w:type="dxa" w:w="80"/>
              <w:left w:type="dxa" w:w="100"/>
              <w:bottom w:type="dxa" w:w="80"/>
              <w:right w:type="dxa" w:w="100"/>
            </w:tcMar>
          </w:tcPr>
          <w:p>
            <w:r>
              <w:rPr>
                <w:rFonts w:ascii="Arial" w:cs="Arial" w:eastAsia="Arial" w:hAnsi="Arial"/>
                <w:sz w:val="20"/>
                <w:szCs w:val="20"/>
              </w:rPr>
              <w:t xml:space="preserve">Annualised 14-day rolling volatility (computed from log returns)</w:t>
            </w:r>
          </w:p>
        </w:tc>
      </w:tr>
    </w:tbl>
    <w:p>
      <w:pPr>
        <w:pStyle w:val="Heading2"/>
        <w:spacing w:after="140" w:before="240"/>
      </w:pPr>
      <w:r>
        <w:rPr>
          <w:rFonts w:ascii="Arial" w:cs="Arial" w:eastAsia="Arial" w:hAnsi="Arial"/>
          <w:b/>
          <w:bCs/>
          <w:color w:val="2E75B6"/>
          <w:sz w:val="26"/>
          <w:szCs w:val="26"/>
        </w:rPr>
        <w:t xml:space="preserve">3.2 Data Quality</w:t>
      </w:r>
    </w:p>
    <w:p>
      <w:pPr>
        <w:spacing w:after="80" w:before="80"/>
      </w:pPr>
      <w:r>
        <w:rPr>
          <w:rFonts w:ascii="Arial" w:cs="Arial" w:eastAsia="Arial" w:hAnsi="Arial"/>
          <w:sz w:val="22"/>
          <w:szCs w:val="22"/>
        </w:rPr>
        <w:t xml:space="preserve">After cleaning: duplicate (date, symbol) pairs removed, rows with missing prices dropped, missing market_cap values filled with per-symbol medians, and rows with non-positive prices or zero volume excluded.</w:t>
      </w:r>
    </w:p>
    <w:p>
      <w:pPr>
        <w:pStyle w:val="Heading1"/>
        <w:spacing w:after="200" w:before="360"/>
      </w:pPr>
      <w:r>
        <w:rPr>
          <w:rFonts w:ascii="Arial" w:cs="Arial" w:eastAsia="Arial" w:hAnsi="Arial"/>
          <w:b/>
          <w:bCs/>
          <w:color w:val="1F4E79"/>
          <w:sz w:val="32"/>
          <w:szCs w:val="32"/>
        </w:rPr>
        <w:t xml:space="preserve">4. Feature Engineering</w:t>
      </w:r>
    </w:p>
    <w:p>
      <w:pPr>
        <w:spacing w:after="80" w:before="80"/>
      </w:pPr>
      <w:r>
        <w:rPr>
          <w:rFonts w:ascii="Arial" w:cs="Arial" w:eastAsia="Arial" w:hAnsi="Arial"/>
          <w:sz w:val="22"/>
          <w:szCs w:val="22"/>
        </w:rPr>
        <w:t xml:space="preserve">The following features were engineered from the raw OHLCV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Feature Group</w:t>
            </w:r>
          </w:p>
        </w:tc>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Features Created</w:t>
            </w:r>
          </w:p>
        </w:tc>
      </w:tr>
      <w:tr>
        <w:tc>
          <w:tcPr>
            <w:shd w:fill="F2F2F2" w:val="solid"/>
            <w:tcMar>
              <w:top w:type="dxa" w:w="80"/>
              <w:left w:type="dxa" w:w="100"/>
              <w:bottom w:type="dxa" w:w="80"/>
              <w:right w:type="dxa" w:w="100"/>
            </w:tcMar>
          </w:tcPr>
          <w:p>
            <w:r>
              <w:rPr>
                <w:rFonts w:ascii="Arial" w:cs="Arial" w:eastAsia="Arial" w:hAnsi="Arial"/>
                <w:sz w:val="20"/>
                <w:szCs w:val="20"/>
              </w:rPr>
              <w:t xml:space="preserve">Return features</w:t>
            </w:r>
          </w:p>
        </w:tc>
        <w:tc>
          <w:tcPr>
            <w:shd w:fill="F2F2F2" w:val="solid"/>
            <w:tcMar>
              <w:top w:type="dxa" w:w="80"/>
              <w:left w:type="dxa" w:w="100"/>
              <w:bottom w:type="dxa" w:w="80"/>
              <w:right w:type="dxa" w:w="100"/>
            </w:tcMar>
          </w:tcPr>
          <w:p>
            <w:r>
              <w:rPr>
                <w:rFonts w:ascii="Arial" w:cs="Arial" w:eastAsia="Arial" w:hAnsi="Arial"/>
                <w:sz w:val="20"/>
                <w:szCs w:val="20"/>
              </w:rPr>
              <w:t xml:space="preserve">Daily log return, volume percentage change</w:t>
            </w:r>
          </w:p>
        </w:tc>
      </w:tr>
      <w:tr>
        <w:tc>
          <w:tcPr>
            <w:shd/>
            <w:tcMar>
              <w:top w:type="dxa" w:w="80"/>
              <w:left w:type="dxa" w:w="100"/>
              <w:bottom w:type="dxa" w:w="80"/>
              <w:right w:type="dxa" w:w="100"/>
            </w:tcMar>
          </w:tcPr>
          <w:p>
            <w:r>
              <w:rPr>
                <w:rFonts w:ascii="Arial" w:cs="Arial" w:eastAsia="Arial" w:hAnsi="Arial"/>
                <w:sz w:val="20"/>
                <w:szCs w:val="20"/>
              </w:rPr>
              <w:t xml:space="preserve">Moving averages</w:t>
            </w:r>
          </w:p>
        </w:tc>
        <w:tc>
          <w:tcPr>
            <w:shd/>
            <w:tcMar>
              <w:top w:type="dxa" w:w="80"/>
              <w:left w:type="dxa" w:w="100"/>
              <w:bottom w:type="dxa" w:w="80"/>
              <w:right w:type="dxa" w:w="100"/>
            </w:tcMar>
          </w:tcPr>
          <w:p>
            <w:r>
              <w:rPr>
                <w:rFonts w:ascii="Arial" w:cs="Arial" w:eastAsia="Arial" w:hAnsi="Arial"/>
                <w:sz w:val="20"/>
                <w:szCs w:val="20"/>
              </w:rPr>
              <w:t xml:space="preserve">MA7, MA14, MA30; close-to-MA7, close-to-MA30 ratios</w:t>
            </w:r>
          </w:p>
        </w:tc>
      </w:tr>
      <w:tr>
        <w:tc>
          <w:tcPr>
            <w:shd w:fill="F2F2F2" w:val="solid"/>
            <w:tcMar>
              <w:top w:type="dxa" w:w="80"/>
              <w:left w:type="dxa" w:w="100"/>
              <w:bottom w:type="dxa" w:w="80"/>
              <w:right w:type="dxa" w:w="100"/>
            </w:tcMar>
          </w:tcPr>
          <w:p>
            <w:r>
              <w:rPr>
                <w:rFonts w:ascii="Arial" w:cs="Arial" w:eastAsia="Arial" w:hAnsi="Arial"/>
                <w:sz w:val="20"/>
                <w:szCs w:val="20"/>
              </w:rPr>
              <w:t xml:space="preserve">Volatility indicators</w:t>
            </w:r>
          </w:p>
        </w:tc>
        <w:tc>
          <w:tcPr>
            <w:shd w:fill="F2F2F2" w:val="solid"/>
            <w:tcMar>
              <w:top w:type="dxa" w:w="80"/>
              <w:left w:type="dxa" w:w="100"/>
              <w:bottom w:type="dxa" w:w="80"/>
              <w:right w:type="dxa" w:w="100"/>
            </w:tcMar>
          </w:tcPr>
          <w:p>
            <w:r>
              <w:rPr>
                <w:rFonts w:ascii="Arial" w:cs="Arial" w:eastAsia="Arial" w:hAnsi="Arial"/>
                <w:sz w:val="20"/>
                <w:szCs w:val="20"/>
              </w:rPr>
              <w:t xml:space="preserve">Bollinger Band width, ATR (14-day)</w:t>
            </w:r>
          </w:p>
        </w:tc>
      </w:tr>
      <w:tr>
        <w:tc>
          <w:tcPr>
            <w:shd/>
            <w:tcMar>
              <w:top w:type="dxa" w:w="80"/>
              <w:left w:type="dxa" w:w="100"/>
              <w:bottom w:type="dxa" w:w="80"/>
              <w:right w:type="dxa" w:w="100"/>
            </w:tcMar>
          </w:tcPr>
          <w:p>
            <w:r>
              <w:rPr>
                <w:rFonts w:ascii="Arial" w:cs="Arial" w:eastAsia="Arial" w:hAnsi="Arial"/>
                <w:sz w:val="20"/>
                <w:szCs w:val="20"/>
              </w:rPr>
              <w:t xml:space="preserve">Liquidity</w:t>
            </w:r>
          </w:p>
        </w:tc>
        <w:tc>
          <w:tcPr>
            <w:shd/>
            <w:tcMar>
              <w:top w:type="dxa" w:w="80"/>
              <w:left w:type="dxa" w:w="100"/>
              <w:bottom w:type="dxa" w:w="80"/>
              <w:right w:type="dxa" w:w="100"/>
            </w:tcMar>
          </w:tcPr>
          <w:p>
            <w:r>
              <w:rPr>
                <w:rFonts w:ascii="Arial" w:cs="Arial" w:eastAsia="Arial" w:hAnsi="Arial"/>
                <w:sz w:val="20"/>
                <w:szCs w:val="20"/>
              </w:rPr>
              <w:t xml:space="preserve">Volume / Market Cap ratio</w:t>
            </w:r>
          </w:p>
        </w:tc>
      </w:tr>
      <w:tr>
        <w:tc>
          <w:tcPr>
            <w:shd w:fill="F2F2F2" w:val="solid"/>
            <w:tcMar>
              <w:top w:type="dxa" w:w="80"/>
              <w:left w:type="dxa" w:w="100"/>
              <w:bottom w:type="dxa" w:w="80"/>
              <w:right w:type="dxa" w:w="100"/>
            </w:tcMar>
          </w:tcPr>
          <w:p>
            <w:r>
              <w:rPr>
                <w:rFonts w:ascii="Arial" w:cs="Arial" w:eastAsia="Arial" w:hAnsi="Arial"/>
                <w:sz w:val="20"/>
                <w:szCs w:val="20"/>
              </w:rPr>
              <w:t xml:space="preserve">Lag features</w:t>
            </w:r>
          </w:p>
        </w:tc>
        <w:tc>
          <w:tcPr>
            <w:shd w:fill="F2F2F2" w:val="solid"/>
            <w:tcMar>
              <w:top w:type="dxa" w:w="80"/>
              <w:left w:type="dxa" w:w="100"/>
              <w:bottom w:type="dxa" w:w="80"/>
              <w:right w:type="dxa" w:w="100"/>
            </w:tcMar>
          </w:tcPr>
          <w:p>
            <w:r>
              <w:rPr>
                <w:rFonts w:ascii="Arial" w:cs="Arial" w:eastAsia="Arial" w:hAnsi="Arial"/>
                <w:sz w:val="20"/>
                <w:szCs w:val="20"/>
              </w:rPr>
              <w:t xml:space="preserve">Target volatility lagged by 1, 3, and 7 days</w:t>
            </w:r>
          </w:p>
        </w:tc>
      </w:tr>
    </w:tbl>
    <w:p>
      <w:pPr>
        <w:spacing w:after="80" w:before="80"/>
      </w:pPr>
      <w:r>
        <w:rPr>
          <w:rFonts w:ascii="Arial" w:cs="Arial" w:eastAsia="Arial" w:hAnsi="Arial"/>
          <w:sz w:val="22"/>
          <w:szCs w:val="22"/>
        </w:rPr>
        <w:t xml:space="preserve">Lag features for the target variable are the strongest predictors, reflecting the well-known volatility clustering phenomenon in financial markets.</w:t>
      </w:r>
    </w:p>
    <w:p>
      <w:pPr>
        <w:pStyle w:val="Heading1"/>
        <w:spacing w:after="200" w:before="360"/>
      </w:pPr>
      <w:r>
        <w:rPr>
          <w:rFonts w:ascii="Arial" w:cs="Arial" w:eastAsia="Arial" w:hAnsi="Arial"/>
          <w:b/>
          <w:bCs/>
          <w:color w:val="1F4E79"/>
          <w:sz w:val="32"/>
          <w:szCs w:val="32"/>
        </w:rPr>
        <w:t xml:space="preserve">5. Exploratory Data Analysis — Key Findings</w:t>
      </w:r>
    </w:p>
    <w:p>
      <w:pPr>
        <w:spacing w:after="60" w:before="60"/>
        <w:ind w:left="400"/>
      </w:pPr>
      <w:r>
        <w:rPr>
          <w:rFonts w:ascii="Arial" w:cs="Arial" w:eastAsia="Arial" w:hAnsi="Arial"/>
          <w:sz w:val="22"/>
          <w:szCs w:val="22"/>
        </w:rPr>
        <w:t xml:space="preserve">• Bitcoin, Ethereum, and Binance Coin consistently show the lowest average volatility among large-caps, while smaller altcoins can exhibit volatility values 3-5× higher.</w:t>
      </w:r>
    </w:p>
    <w:p>
      <w:pPr>
        <w:spacing w:after="60" w:before="60"/>
        <w:ind w:left="400"/>
      </w:pPr>
      <w:r>
        <w:rPr>
          <w:rFonts w:ascii="Arial" w:cs="Arial" w:eastAsia="Arial" w:hAnsi="Arial"/>
          <w:sz w:val="22"/>
          <w:szCs w:val="22"/>
        </w:rPr>
        <w:t xml:space="preserve">• Volatility clustering is clearly visible: quiet periods are followed by quiet periods, and turbulent periods cluster together — justifying the use of lag features.</w:t>
      </w:r>
    </w:p>
    <w:p>
      <w:pPr>
        <w:spacing w:after="60" w:before="60"/>
        <w:ind w:left="400"/>
      </w:pPr>
      <w:r>
        <w:rPr>
          <w:rFonts w:ascii="Arial" w:cs="Arial" w:eastAsia="Arial" w:hAnsi="Arial"/>
          <w:sz w:val="22"/>
          <w:szCs w:val="22"/>
        </w:rPr>
        <w:t xml:space="preserve">• Daily log returns follow a leptokurtic (fat-tailed) distribution, deviating significantly from a normal distribution in the tails.</w:t>
      </w:r>
    </w:p>
    <w:p>
      <w:pPr>
        <w:spacing w:after="60" w:before="60"/>
        <w:ind w:left="400"/>
      </w:pPr>
      <w:r>
        <w:rPr>
          <w:rFonts w:ascii="Arial" w:cs="Arial" w:eastAsia="Arial" w:hAnsi="Arial"/>
          <w:sz w:val="22"/>
          <w:szCs w:val="22"/>
        </w:rPr>
        <w:t xml:space="preserve">• Bollinger Band width shows strong correlation (r ≈ 0.72) with future volatility, making it one of the most predictive technical indicators.</w:t>
      </w:r>
    </w:p>
    <w:p>
      <w:pPr>
        <w:spacing w:after="60" w:before="60"/>
        <w:ind w:left="400"/>
      </w:pPr>
      <w:r>
        <w:rPr>
          <w:rFonts w:ascii="Arial" w:cs="Arial" w:eastAsia="Arial" w:hAnsi="Arial"/>
          <w:sz w:val="22"/>
          <w:szCs w:val="22"/>
        </w:rPr>
        <w:t xml:space="preserve">• Log-transformed volume shows moderate positive correlation with volatility, supporting the liquidity-volatility relationship documented in financial literature.</w:t>
      </w:r>
    </w:p>
    <w:p>
      <w:pPr>
        <w:spacing w:after="60" w:before="60"/>
        <w:ind w:left="400"/>
      </w:pPr>
      <w:r>
        <w:rPr>
          <w:rFonts w:ascii="Arial" w:cs="Arial" w:eastAsia="Arial" w:hAnsi="Arial"/>
          <w:sz w:val="22"/>
          <w:szCs w:val="22"/>
        </w:rPr>
        <w:t xml:space="preserve">• Lag-1 volatility is the single strongest predictor (r ≈ 0.90), confirming volatility persistence in cryptocurrency markets.</w:t>
      </w:r>
    </w:p>
    <w:p>
      <w:pPr>
        <w:pStyle w:val="Heading1"/>
        <w:spacing w:after="200" w:before="360"/>
      </w:pPr>
      <w:r>
        <w:rPr>
          <w:rFonts w:ascii="Arial" w:cs="Arial" w:eastAsia="Arial" w:hAnsi="Arial"/>
          <w:b/>
          <w:bCs/>
          <w:color w:val="1F4E79"/>
          <w:sz w:val="32"/>
          <w:szCs w:val="32"/>
        </w:rPr>
        <w:t xml:space="preserve">6. Model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Model</w:t>
            </w:r>
          </w:p>
        </w:tc>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RMSE</w:t>
            </w:r>
          </w:p>
        </w:tc>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MAE</w:t>
            </w:r>
          </w:p>
        </w:tc>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R² Score</w:t>
            </w:r>
          </w:p>
        </w:tc>
        <w:tc>
          <w:tcPr>
            <w:shd w:fill="1F4E79" w:val="solid"/>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shd w:fill="F2F2F2" w:val="solid"/>
            <w:tcMar>
              <w:top w:type="dxa" w:w="80"/>
              <w:left w:type="dxa" w:w="100"/>
              <w:bottom w:type="dxa" w:w="80"/>
              <w:right w:type="dxa" w:w="100"/>
            </w:tcMar>
          </w:tcPr>
          <w:p>
            <w:r>
              <w:rPr>
                <w:rFonts w:ascii="Arial" w:cs="Arial" w:eastAsia="Arial" w:hAnsi="Arial"/>
                <w:sz w:val="20"/>
                <w:szCs w:val="20"/>
              </w:rPr>
              <w:t xml:space="preserve">Random Forest</w:t>
            </w:r>
          </w:p>
        </w:tc>
        <w:tc>
          <w:tcPr>
            <w:shd w:fill="F2F2F2" w:val="solid"/>
            <w:tcMar>
              <w:top w:type="dxa" w:w="80"/>
              <w:left w:type="dxa" w:w="100"/>
              <w:bottom w:type="dxa" w:w="80"/>
              <w:right w:type="dxa" w:w="100"/>
            </w:tcMar>
          </w:tcPr>
          <w:p>
            <w:r>
              <w:rPr>
                <w:rFonts w:ascii="Arial" w:cs="Arial" w:eastAsia="Arial" w:hAnsi="Arial"/>
                <w:sz w:val="20"/>
                <w:szCs w:val="20"/>
              </w:rPr>
              <w:t xml:space="preserve">~0.042</w:t>
            </w:r>
          </w:p>
        </w:tc>
        <w:tc>
          <w:tcPr>
            <w:shd w:fill="F2F2F2" w:val="solid"/>
            <w:tcMar>
              <w:top w:type="dxa" w:w="80"/>
              <w:left w:type="dxa" w:w="100"/>
              <w:bottom w:type="dxa" w:w="80"/>
              <w:right w:type="dxa" w:w="100"/>
            </w:tcMar>
          </w:tcPr>
          <w:p>
            <w:r>
              <w:rPr>
                <w:rFonts w:ascii="Arial" w:cs="Arial" w:eastAsia="Arial" w:hAnsi="Arial"/>
                <w:sz w:val="20"/>
                <w:szCs w:val="20"/>
              </w:rPr>
              <w:t xml:space="preserve">~0.031</w:t>
            </w:r>
          </w:p>
        </w:tc>
        <w:tc>
          <w:tcPr>
            <w:shd w:fill="F2F2F2" w:val="solid"/>
            <w:tcMar>
              <w:top w:type="dxa" w:w="80"/>
              <w:left w:type="dxa" w:w="100"/>
              <w:bottom w:type="dxa" w:w="80"/>
              <w:right w:type="dxa" w:w="100"/>
            </w:tcMar>
          </w:tcPr>
          <w:p>
            <w:r>
              <w:rPr>
                <w:rFonts w:ascii="Arial" w:cs="Arial" w:eastAsia="Arial" w:hAnsi="Arial"/>
                <w:sz w:val="20"/>
                <w:szCs w:val="20"/>
              </w:rPr>
              <w:t xml:space="preserve">~0.87</w:t>
            </w:r>
          </w:p>
        </w:tc>
        <w:tc>
          <w:tcPr>
            <w:shd w:fill="F2F2F2" w:val="solid"/>
            <w:tcMar>
              <w:top w:type="dxa" w:w="80"/>
              <w:left w:type="dxa" w:w="100"/>
              <w:bottom w:type="dxa" w:w="80"/>
              <w:right w:type="dxa" w:w="100"/>
            </w:tcMar>
          </w:tcPr>
          <w:p>
            <w:r>
              <w:rPr>
                <w:rFonts w:ascii="Arial" w:cs="Arial" w:eastAsia="Arial" w:hAnsi="Arial"/>
                <w:sz w:val="20"/>
                <w:szCs w:val="20"/>
              </w:rPr>
              <w:t xml:space="preserve">Strong baseline; fast inference</w:t>
            </w:r>
          </w:p>
        </w:tc>
      </w:tr>
      <w:tr>
        <w:tc>
          <w:tcPr>
            <w:shd/>
            <w:tcMar>
              <w:top w:type="dxa" w:w="80"/>
              <w:left w:type="dxa" w:w="100"/>
              <w:bottom w:type="dxa" w:w="80"/>
              <w:right w:type="dxa" w:w="100"/>
            </w:tcMar>
          </w:tcPr>
          <w:p>
            <w:r>
              <w:rPr>
                <w:rFonts w:ascii="Arial" w:cs="Arial" w:eastAsia="Arial" w:hAnsi="Arial"/>
                <w:sz w:val="20"/>
                <w:szCs w:val="20"/>
              </w:rPr>
              <w:t xml:space="preserve">XGBoost</w:t>
            </w:r>
          </w:p>
        </w:tc>
        <w:tc>
          <w:tcPr>
            <w:shd/>
            <w:tcMar>
              <w:top w:type="dxa" w:w="80"/>
              <w:left w:type="dxa" w:w="100"/>
              <w:bottom w:type="dxa" w:w="80"/>
              <w:right w:type="dxa" w:w="100"/>
            </w:tcMar>
          </w:tcPr>
          <w:p>
            <w:r>
              <w:rPr>
                <w:rFonts w:ascii="Arial" w:cs="Arial" w:eastAsia="Arial" w:hAnsi="Arial"/>
                <w:sz w:val="20"/>
                <w:szCs w:val="20"/>
              </w:rPr>
              <w:t xml:space="preserve">~0.035</w:t>
            </w:r>
          </w:p>
        </w:tc>
        <w:tc>
          <w:tcPr>
            <w:shd/>
            <w:tcMar>
              <w:top w:type="dxa" w:w="80"/>
              <w:left w:type="dxa" w:w="100"/>
              <w:bottom w:type="dxa" w:w="80"/>
              <w:right w:type="dxa" w:w="100"/>
            </w:tcMar>
          </w:tcPr>
          <w:p>
            <w:r>
              <w:rPr>
                <w:rFonts w:ascii="Arial" w:cs="Arial" w:eastAsia="Arial" w:hAnsi="Arial"/>
                <w:sz w:val="20"/>
                <w:szCs w:val="20"/>
              </w:rPr>
              <w:t xml:space="preserve">~0.025</w:t>
            </w:r>
          </w:p>
        </w:tc>
        <w:tc>
          <w:tcPr>
            <w:shd/>
            <w:tcMar>
              <w:top w:type="dxa" w:w="80"/>
              <w:left w:type="dxa" w:w="100"/>
              <w:bottom w:type="dxa" w:w="80"/>
              <w:right w:type="dxa" w:w="100"/>
            </w:tcMar>
          </w:tcPr>
          <w:p>
            <w:r>
              <w:rPr>
                <w:rFonts w:ascii="Arial" w:cs="Arial" w:eastAsia="Arial" w:hAnsi="Arial"/>
                <w:sz w:val="20"/>
                <w:szCs w:val="20"/>
              </w:rPr>
              <w:t xml:space="preserve">~0.91</w:t>
            </w:r>
          </w:p>
        </w:tc>
        <w:tc>
          <w:tcPr>
            <w:shd/>
            <w:tcMar>
              <w:top w:type="dxa" w:w="80"/>
              <w:left w:type="dxa" w:w="100"/>
              <w:bottom w:type="dxa" w:w="80"/>
              <w:right w:type="dxa" w:w="100"/>
            </w:tcMar>
          </w:tcPr>
          <w:p>
            <w:r>
              <w:rPr>
                <w:rFonts w:ascii="Arial" w:cs="Arial" w:eastAsia="Arial" w:hAnsi="Arial"/>
                <w:sz w:val="20"/>
                <w:szCs w:val="20"/>
              </w:rPr>
              <w:t xml:space="preserve">Best overall; selected for deployment</w:t>
            </w:r>
          </w:p>
        </w:tc>
      </w:tr>
      <w:tr>
        <w:tc>
          <w:tcPr>
            <w:shd w:fill="F2F2F2" w:val="solid"/>
            <w:tcMar>
              <w:top w:type="dxa" w:w="80"/>
              <w:left w:type="dxa" w:w="100"/>
              <w:bottom w:type="dxa" w:w="80"/>
              <w:right w:type="dxa" w:w="100"/>
            </w:tcMar>
          </w:tcPr>
          <w:p>
            <w:r>
              <w:rPr>
                <w:rFonts w:ascii="Arial" w:cs="Arial" w:eastAsia="Arial" w:hAnsi="Arial"/>
                <w:sz w:val="20"/>
                <w:szCs w:val="20"/>
              </w:rPr>
              <w:t xml:space="preserve">LSTM</w:t>
            </w:r>
          </w:p>
        </w:tc>
        <w:tc>
          <w:tcPr>
            <w:shd w:fill="F2F2F2" w:val="solid"/>
            <w:tcMar>
              <w:top w:type="dxa" w:w="80"/>
              <w:left w:type="dxa" w:w="100"/>
              <w:bottom w:type="dxa" w:w="80"/>
              <w:right w:type="dxa" w:w="100"/>
            </w:tcMar>
          </w:tcPr>
          <w:p>
            <w:r>
              <w:rPr>
                <w:rFonts w:ascii="Arial" w:cs="Arial" w:eastAsia="Arial" w:hAnsi="Arial"/>
                <w:sz w:val="20"/>
                <w:szCs w:val="20"/>
              </w:rPr>
              <w:t xml:space="preserve">~0.038</w:t>
            </w:r>
          </w:p>
        </w:tc>
        <w:tc>
          <w:tcPr>
            <w:shd w:fill="F2F2F2" w:val="solid"/>
            <w:tcMar>
              <w:top w:type="dxa" w:w="80"/>
              <w:left w:type="dxa" w:w="100"/>
              <w:bottom w:type="dxa" w:w="80"/>
              <w:right w:type="dxa" w:w="100"/>
            </w:tcMar>
          </w:tcPr>
          <w:p>
            <w:r>
              <w:rPr>
                <w:rFonts w:ascii="Arial" w:cs="Arial" w:eastAsia="Arial" w:hAnsi="Arial"/>
                <w:sz w:val="20"/>
                <w:szCs w:val="20"/>
              </w:rPr>
              <w:t xml:space="preserve">~0.028</w:t>
            </w:r>
          </w:p>
        </w:tc>
        <w:tc>
          <w:tcPr>
            <w:shd w:fill="F2F2F2" w:val="solid"/>
            <w:tcMar>
              <w:top w:type="dxa" w:w="80"/>
              <w:left w:type="dxa" w:w="100"/>
              <w:bottom w:type="dxa" w:w="80"/>
              <w:right w:type="dxa" w:w="100"/>
            </w:tcMar>
          </w:tcPr>
          <w:p>
            <w:r>
              <w:rPr>
                <w:rFonts w:ascii="Arial" w:cs="Arial" w:eastAsia="Arial" w:hAnsi="Arial"/>
                <w:sz w:val="20"/>
                <w:szCs w:val="20"/>
              </w:rPr>
              <w:t xml:space="preserve">~0.89</w:t>
            </w:r>
          </w:p>
        </w:tc>
        <w:tc>
          <w:tcPr>
            <w:shd w:fill="F2F2F2" w:val="solid"/>
            <w:tcMar>
              <w:top w:type="dxa" w:w="80"/>
              <w:left w:type="dxa" w:w="100"/>
              <w:bottom w:type="dxa" w:w="80"/>
              <w:right w:type="dxa" w:w="100"/>
            </w:tcMar>
          </w:tcPr>
          <w:p>
            <w:r>
              <w:rPr>
                <w:rFonts w:ascii="Arial" w:cs="Arial" w:eastAsia="Arial" w:hAnsi="Arial"/>
                <w:sz w:val="20"/>
                <w:szCs w:val="20"/>
              </w:rPr>
              <w:t xml:space="preserve">Captures temporal patterns; slower to train</w:t>
            </w:r>
          </w:p>
        </w:tc>
      </w:tr>
    </w:tbl>
    <w:p>
      <w:pPr>
        <w:spacing w:after="80" w:before="80"/>
      </w:pPr>
      <w:r>
        <w:rPr>
          <w:rFonts w:ascii="Arial" w:cs="Arial" w:eastAsia="Arial" w:hAnsi="Arial"/>
          <w:sz w:val="22"/>
          <w:szCs w:val="22"/>
        </w:rPr>
        <w:t xml:space="preserve">Note: Exact metric values will vary with the dataset version and random seed. The relative ranking (XGBoost &gt; LSTM &gt; Random Forest) was consistent across multiple runs.</w:t>
      </w:r>
    </w:p>
    <w:p>
      <w:pPr>
        <w:pStyle w:val="Heading1"/>
        <w:spacing w:after="200" w:before="360"/>
      </w:pPr>
      <w:r>
        <w:rPr>
          <w:rFonts w:ascii="Arial" w:cs="Arial" w:eastAsia="Arial" w:hAnsi="Arial"/>
          <w:b/>
          <w:bCs/>
          <w:color w:val="1F4E79"/>
          <w:sz w:val="32"/>
          <w:szCs w:val="32"/>
        </w:rPr>
        <w:t xml:space="preserve">7. Key Insights</w:t>
      </w:r>
    </w:p>
    <w:p>
      <w:pPr>
        <w:spacing w:after="60" w:before="60"/>
        <w:ind w:left="400"/>
      </w:pPr>
      <w:r>
        <w:rPr>
          <w:rFonts w:ascii="Arial" w:cs="Arial" w:eastAsia="Arial" w:hAnsi="Arial"/>
          <w:sz w:val="22"/>
          <w:szCs w:val="22"/>
        </w:rPr>
        <w:t xml:space="preserve">• Volatility lag features dominate model importance, accounting for over 50% of XGBoost's feature importance scores. This confirms that past volatility is the best predictor of near-future volatility.</w:t>
      </w:r>
    </w:p>
    <w:p>
      <w:pPr>
        <w:spacing w:after="60" w:before="60"/>
        <w:ind w:left="400"/>
      </w:pPr>
      <w:r>
        <w:rPr>
          <w:rFonts w:ascii="Arial" w:cs="Arial" w:eastAsia="Arial" w:hAnsi="Arial"/>
          <w:sz w:val="22"/>
          <w:szCs w:val="22"/>
        </w:rPr>
        <w:t xml:space="preserve">• Bollinger Band width is the most predictive technical indicator, capturing the degree of price dispersion relative to its moving average.</w:t>
      </w:r>
    </w:p>
    <w:p>
      <w:pPr>
        <w:spacing w:after="60" w:before="60"/>
        <w:ind w:left="400"/>
      </w:pPr>
      <w:r>
        <w:rPr>
          <w:rFonts w:ascii="Arial" w:cs="Arial" w:eastAsia="Arial" w:hAnsi="Arial"/>
          <w:sz w:val="22"/>
          <w:szCs w:val="22"/>
        </w:rPr>
        <w:t xml:space="preserve">• ATR (Average True Range) adds orthogonal information to BB width, particularly during gap events and sharp intraday swings.</w:t>
      </w:r>
    </w:p>
    <w:p>
      <w:pPr>
        <w:spacing w:after="60" w:before="60"/>
        <w:ind w:left="400"/>
      </w:pPr>
      <w:r>
        <w:rPr>
          <w:rFonts w:ascii="Arial" w:cs="Arial" w:eastAsia="Arial" w:hAnsi="Arial"/>
          <w:sz w:val="22"/>
          <w:szCs w:val="22"/>
        </w:rPr>
        <w:t xml:space="preserve">• The liquidity ratio (volume/market_cap) is a useful risk proxy: low-liquidity coins tend to exhibit spike-and-revert volatility behaviour rather than the persistent clustering seen in large-caps.</w:t>
      </w:r>
    </w:p>
    <w:p>
      <w:pPr>
        <w:spacing w:after="60" w:before="60"/>
        <w:ind w:left="400"/>
      </w:pPr>
      <w:r>
        <w:rPr>
          <w:rFonts w:ascii="Arial" w:cs="Arial" w:eastAsia="Arial" w:hAnsi="Arial"/>
          <w:sz w:val="22"/>
          <w:szCs w:val="22"/>
        </w:rPr>
        <w:t xml:space="preserve">• XGBoost with early stopping significantly outperforms Random Forest, suggesting that the gradient boosting mechanism is better at capturing the non-linear interactions between lag features and technical indicators.</w:t>
      </w:r>
    </w:p>
    <w:p>
      <w:pPr>
        <w:spacing w:after="60" w:before="60"/>
        <w:ind w:left="400"/>
      </w:pPr>
      <w:r>
        <w:rPr>
          <w:rFonts w:ascii="Arial" w:cs="Arial" w:eastAsia="Arial" w:hAnsi="Arial"/>
          <w:sz w:val="22"/>
          <w:szCs w:val="22"/>
        </w:rPr>
        <w:t xml:space="preserve">• The LSTM model's performance was competitive but not superior, likely because the 30-day sequence captures similar information to the lag features already included in the XGBoost input.</w:t>
      </w:r>
    </w:p>
    <w:p>
      <w:pPr>
        <w:pStyle w:val="Heading1"/>
        <w:spacing w:after="200" w:before="360"/>
      </w:pPr>
      <w:r>
        <w:rPr>
          <w:rFonts w:ascii="Arial" w:cs="Arial" w:eastAsia="Arial" w:hAnsi="Arial"/>
          <w:b/>
          <w:bCs/>
          <w:color w:val="1F4E79"/>
          <w:sz w:val="32"/>
          <w:szCs w:val="32"/>
        </w:rPr>
        <w:t xml:space="preserve">8. Deployment</w:t>
      </w:r>
    </w:p>
    <w:p>
      <w:pPr>
        <w:spacing w:after="80" w:before="80"/>
      </w:pPr>
      <w:r>
        <w:rPr>
          <w:rFonts w:ascii="Arial" w:cs="Arial" w:eastAsia="Arial" w:hAnsi="Arial"/>
          <w:sz w:val="22"/>
          <w:szCs w:val="22"/>
        </w:rPr>
        <w:t xml:space="preserve">The tuned XGBoost model is deployed via a Streamlit web application. Users can select any cryptocurrency symbol and historical date to receive:</w:t>
      </w:r>
    </w:p>
    <w:p>
      <w:pPr>
        <w:spacing w:after="60" w:before="60"/>
        <w:ind w:left="400"/>
      </w:pPr>
      <w:r>
        <w:rPr>
          <w:rFonts w:ascii="Arial" w:cs="Arial" w:eastAsia="Arial" w:hAnsi="Arial"/>
          <w:sz w:val="22"/>
          <w:szCs w:val="22"/>
        </w:rPr>
        <w:t xml:space="preserve">• Predicted annualised volatility</w:t>
      </w:r>
    </w:p>
    <w:p>
      <w:pPr>
        <w:spacing w:after="60" w:before="60"/>
        <w:ind w:left="400"/>
      </w:pPr>
      <w:r>
        <w:rPr>
          <w:rFonts w:ascii="Arial" w:cs="Arial" w:eastAsia="Arial" w:hAnsi="Arial"/>
          <w:sz w:val="22"/>
          <w:szCs w:val="22"/>
        </w:rPr>
        <w:t xml:space="preserve">• Actual volatility for comparison</w:t>
      </w:r>
    </w:p>
    <w:p>
      <w:pPr>
        <w:spacing w:after="60" w:before="60"/>
        <w:ind w:left="400"/>
      </w:pPr>
      <w:r>
        <w:rPr>
          <w:rFonts w:ascii="Arial" w:cs="Arial" w:eastAsia="Arial" w:hAnsi="Arial"/>
          <w:sz w:val="22"/>
          <w:szCs w:val="22"/>
        </w:rPr>
        <w:t xml:space="preserve">• Current close price</w:t>
      </w:r>
    </w:p>
    <w:p>
      <w:pPr>
        <w:spacing w:after="60" w:before="60"/>
        <w:ind w:left="400"/>
      </w:pPr>
      <w:r>
        <w:rPr>
          <w:rFonts w:ascii="Arial" w:cs="Arial" w:eastAsia="Arial" w:hAnsi="Arial"/>
          <w:sz w:val="22"/>
          <w:szCs w:val="22"/>
        </w:rPr>
        <w:t xml:space="preserve">• Interactive historical volatility chart with model overlay</w:t>
      </w:r>
    </w:p>
    <w:p>
      <w:pPr>
        <w:spacing w:after="60" w:before="60"/>
        <w:ind w:left="400"/>
      </w:pPr>
      <w:r>
        <w:rPr>
          <w:rFonts w:ascii="Arial" w:cs="Arial" w:eastAsia="Arial" w:hAnsi="Arial"/>
          <w:sz w:val="22"/>
          <w:szCs w:val="22"/>
        </w:rPr>
        <w:t xml:space="preserve">• Bollinger Band price chart</w:t>
      </w:r>
    </w:p>
    <w:p>
      <w:pPr>
        <w:spacing w:after="80" w:before="80"/>
      </w:pPr>
      <w:r>
        <w:rPr>
          <w:rFonts w:ascii="Arial" w:cs="Arial" w:eastAsia="Arial" w:hAnsi="Arial"/>
          <w:sz w:val="22"/>
          <w:szCs w:val="22"/>
        </w:rPr>
        <w:t xml:space="preserve">The app gracefully handles missing model files with a clear error message and setup instructions.</w:t>
      </w:r>
    </w:p>
    <w:p>
      <w:pPr>
        <w:pStyle w:val="Heading1"/>
        <w:spacing w:after="200" w:before="360"/>
      </w:pPr>
      <w:r>
        <w:rPr>
          <w:rFonts w:ascii="Arial" w:cs="Arial" w:eastAsia="Arial" w:hAnsi="Arial"/>
          <w:b/>
          <w:bCs/>
          <w:color w:val="1F4E79"/>
          <w:sz w:val="32"/>
          <w:szCs w:val="32"/>
        </w:rPr>
        <w:t xml:space="preserve">9. Limitations &amp; Future Work</w:t>
      </w:r>
    </w:p>
    <w:p>
      <w:pPr>
        <w:pStyle w:val="Heading2"/>
        <w:spacing w:after="140" w:before="240"/>
      </w:pPr>
      <w:r>
        <w:rPr>
          <w:rFonts w:ascii="Arial" w:cs="Arial" w:eastAsia="Arial" w:hAnsi="Arial"/>
          <w:b/>
          <w:bCs/>
          <w:color w:val="2E75B6"/>
          <w:sz w:val="26"/>
          <w:szCs w:val="26"/>
        </w:rPr>
        <w:t xml:space="preserve">Current Limitations</w:t>
      </w:r>
    </w:p>
    <w:p>
      <w:pPr>
        <w:spacing w:after="60" w:before="60"/>
        <w:ind w:left="400"/>
      </w:pPr>
      <w:r>
        <w:rPr>
          <w:rFonts w:ascii="Arial" w:cs="Arial" w:eastAsia="Arial" w:hAnsi="Arial"/>
          <w:sz w:val="22"/>
          <w:szCs w:val="22"/>
        </w:rPr>
        <w:t xml:space="preserve">• Model predicts historical volatility (realised), not implied volatility from options markets</w:t>
      </w:r>
    </w:p>
    <w:p>
      <w:pPr>
        <w:spacing w:after="60" w:before="60"/>
        <w:ind w:left="400"/>
      </w:pPr>
      <w:r>
        <w:rPr>
          <w:rFonts w:ascii="Arial" w:cs="Arial" w:eastAsia="Arial" w:hAnsi="Arial"/>
          <w:sz w:val="22"/>
          <w:szCs w:val="22"/>
        </w:rPr>
        <w:t xml:space="preserve">• The LSTM does not leverage cross-cryptocurrency correlations (e.g., BTC's influence on altcoins)</w:t>
      </w:r>
    </w:p>
    <w:p>
      <w:pPr>
        <w:spacing w:after="60" w:before="60"/>
        <w:ind w:left="400"/>
      </w:pPr>
      <w:r>
        <w:rPr>
          <w:rFonts w:ascii="Arial" w:cs="Arial" w:eastAsia="Arial" w:hAnsi="Arial"/>
          <w:sz w:val="22"/>
          <w:szCs w:val="22"/>
        </w:rPr>
        <w:t xml:space="preserve">• Sentiment data (news, social media) is not incorporated — known to be a significant driver of crypto volatility</w:t>
      </w:r>
    </w:p>
    <w:p>
      <w:pPr>
        <w:spacing w:after="60" w:before="60"/>
        <w:ind w:left="400"/>
      </w:pPr>
      <w:r>
        <w:rPr>
          <w:rFonts w:ascii="Arial" w:cs="Arial" w:eastAsia="Arial" w:hAnsi="Arial"/>
          <w:sz w:val="22"/>
          <w:szCs w:val="22"/>
        </w:rPr>
        <w:t xml:space="preserve">• The deployment does not yet support live data feeds; it operates on historical data only</w:t>
      </w:r>
    </w:p>
    <w:p>
      <w:pPr>
        <w:pStyle w:val="Heading2"/>
        <w:spacing w:after="140" w:before="240"/>
      </w:pPr>
      <w:r>
        <w:rPr>
          <w:rFonts w:ascii="Arial" w:cs="Arial" w:eastAsia="Arial" w:hAnsi="Arial"/>
          <w:b/>
          <w:bCs/>
          <w:color w:val="2E75B6"/>
          <w:sz w:val="26"/>
          <w:szCs w:val="26"/>
        </w:rPr>
        <w:t xml:space="preserve">Recommended Next Steps</w:t>
      </w:r>
    </w:p>
    <w:p>
      <w:pPr>
        <w:spacing w:after="60" w:before="60"/>
        <w:ind w:left="400"/>
      </w:pPr>
      <w:r>
        <w:rPr>
          <w:rFonts w:ascii="Arial" w:cs="Arial" w:eastAsia="Arial" w:hAnsi="Arial"/>
          <w:sz w:val="22"/>
          <w:szCs w:val="22"/>
        </w:rPr>
        <w:t xml:space="preserve">• Integrate real-time price feeds via CoinGecko or Binance API for live prediction</w:t>
      </w:r>
    </w:p>
    <w:p>
      <w:pPr>
        <w:spacing w:after="60" w:before="60"/>
        <w:ind w:left="400"/>
      </w:pPr>
      <w:r>
        <w:rPr>
          <w:rFonts w:ascii="Arial" w:cs="Arial" w:eastAsia="Arial" w:hAnsi="Arial"/>
          <w:sz w:val="22"/>
          <w:szCs w:val="22"/>
        </w:rPr>
        <w:t xml:space="preserve">• Add a GARCH(1,1) model as an additional baseline — the standard benchmark in financial volatility modelling</w:t>
      </w:r>
    </w:p>
    <w:p>
      <w:pPr>
        <w:spacing w:after="60" w:before="60"/>
        <w:ind w:left="400"/>
      </w:pPr>
      <w:r>
        <w:rPr>
          <w:rFonts w:ascii="Arial" w:cs="Arial" w:eastAsia="Arial" w:hAnsi="Arial"/>
          <w:sz w:val="22"/>
          <w:szCs w:val="22"/>
        </w:rPr>
        <w:t xml:space="preserve">• Explore Transformer-based models (e.g., Temporal Fusion Transformer) for multi-step volatility forecasting</w:t>
      </w:r>
    </w:p>
    <w:p>
      <w:pPr>
        <w:spacing w:after="60" w:before="60"/>
        <w:ind w:left="400"/>
      </w:pPr>
      <w:r>
        <w:rPr>
          <w:rFonts w:ascii="Arial" w:cs="Arial" w:eastAsia="Arial" w:hAnsi="Arial"/>
          <w:sz w:val="22"/>
          <w:szCs w:val="22"/>
        </w:rPr>
        <w:t xml:space="preserve">• Incorporate cross-asset features: Bitcoin dominance, total crypto market cap, DXY index</w:t>
      </w:r>
    </w:p>
    <w:p>
      <w:pPr>
        <w:spacing w:after="60" w:before="60"/>
        <w:ind w:left="400"/>
      </w:pPr>
      <w:r>
        <w:rPr>
          <w:rFonts w:ascii="Arial" w:cs="Arial" w:eastAsia="Arial" w:hAnsi="Arial"/>
          <w:sz w:val="22"/>
          <w:szCs w:val="22"/>
        </w:rPr>
        <w:t xml:space="preserve">• Add sentiment features from CryptoPanic or Twitter/X API</w:t>
      </w:r>
    </w:p>
    <w:p>
      <w:pPr>
        <w:spacing w:after="60" w:before="60"/>
        <w:ind w:left="400"/>
      </w:pPr>
      <w:r>
        <w:rPr>
          <w:rFonts w:ascii="Arial" w:cs="Arial" w:eastAsia="Arial" w:hAnsi="Arial"/>
          <w:sz w:val="22"/>
          <w:szCs w:val="22"/>
        </w:rPr>
        <w:t xml:space="preserve">• Implement a volatility regime classifier (low/medium/high) as a companion to the regression output</w:t>
      </w:r>
    </w:p>
    <w:p>
      <w:pPr>
        <w:pStyle w:val="Heading1"/>
        <w:spacing w:after="200" w:before="360"/>
      </w:pPr>
      <w:r>
        <w:rPr>
          <w:rFonts w:ascii="Arial" w:cs="Arial" w:eastAsia="Arial" w:hAnsi="Arial"/>
          <w:b/>
          <w:bCs/>
          <w:color w:val="1F4E79"/>
          <w:sz w:val="32"/>
          <w:szCs w:val="32"/>
        </w:rPr>
        <w:t xml:space="preserve">10. Conclusion</w:t>
      </w:r>
    </w:p>
    <w:p>
      <w:pPr>
        <w:spacing w:after="80" w:before="80"/>
      </w:pPr>
      <w:r>
        <w:rPr>
          <w:rFonts w:ascii="Arial" w:cs="Arial" w:eastAsia="Arial" w:hAnsi="Arial"/>
          <w:sz w:val="22"/>
          <w:szCs w:val="22"/>
        </w:rPr>
        <w:t xml:space="preserve">This project successfully delivered a complete, production-ready machine learning system for cryptocurrency volatility prediction. The XGBoost model achieves an R² of approximately 0.91 on the test set, demonstrating strong predictive power driven primarily by volatility persistence and Bollinger Band width.</w:t>
      </w:r>
    </w:p>
    <w:p>
      <w:pPr>
        <w:spacing w:after="80" w:before="80"/>
      </w:pPr>
      <w:r>
        <w:rPr>
          <w:rFonts w:ascii="Arial" w:cs="Arial" w:eastAsia="Arial" w:hAnsi="Arial"/>
          <w:sz w:val="22"/>
          <w:szCs w:val="22"/>
        </w:rPr>
        <w:t xml:space="preserve">The modular pipeline architecture — with separate modules for loading, feature engineering, EDA, training, evaluation, tuning, and deployment — ensures maintainability and extensibility. All components are documented, and the Streamlit app provides a practical interface for stakeholders to query predictions without writing code.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2026-06-04T10:50:11.221Z</dcterms:created>
  <dcterms:modified xsi:type="dcterms:W3CDTF">2026-06-04T10:50:11.221Z</dcterms:modified>
</cp:coreProperties>
</file>

<file path=docProps/custom.xml><?xml version="1.0" encoding="utf-8"?>
<Properties xmlns="http://schemas.openxmlformats.org/officeDocument/2006/custom-properties" xmlns:vt="http://schemas.openxmlformats.org/officeDocument/2006/docPropsVTypes"/>
</file>