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DevOps Assignment Review</w:t>
      </w:r>
    </w:p>
    <w:p>
      <w:pPr>
        <w:spacing w:after="200"/>
      </w:pPr>
      <w:r>
        <w:rPr>
          <w:color w:val="5B6573"/>
          <w:sz w:val="22"/>
        </w:rPr>
        <w:t>Terraform tasks 1 through 5  |  17 October 2026</w:t>
      </w:r>
    </w:p>
    <w:p>
      <w:pPr>
        <w:pStyle w:val="Heading1"/>
        <w:keepNext/>
        <w:spacing w:before="160" w:after="80"/>
      </w:pPr>
      <w:r>
        <w:t>Review conclusion</w:t>
      </w:r>
    </w:p>
    <w:p>
      <w:pPr>
        <w:keepLines w:val="0"/>
        <w:spacing w:after="120" w:line="259" w:lineRule="auto"/>
      </w:pPr>
      <w:r>
        <w:t>The implementation now covers the core requirements across the five tasks, with a few deployment prerequisites that must be supplied outside the code. Task 2 intentionally uses Terraform's native S3 lockfile instead of the assignment's requested DynamoDB table; that deviation is called out so the reviewer can assess it explicitly.</w:t>
      </w:r>
    </w:p>
    <w:tbl>
      <w:tblPr>
        <w:tblStyle w:val="TableGrid"/>
        <w:tblW w:type="auto" w:w="0"/>
        <w:jc w:val="center"/>
        <w:tblLayout w:type="fixed"/>
        <w:tblLook w:firstColumn="1" w:firstRow="1" w:lastColumn="0" w:lastRow="0" w:noHBand="0" w:noVBand="1" w:val="04A0"/>
      </w:tblPr>
      <w:tblGrid>
        <w:gridCol w:w="1037"/>
        <w:gridCol w:w="2131"/>
        <w:gridCol w:w="6797"/>
      </w:tblGrid>
      <w:tr>
        <w:trPr>
          <w:tblHeader w:val="true"/>
        </w:trPr>
        <w:tc>
          <w:tcPr>
            <w:tcW w:type="dxa" w:w="3389"/>
            <w:vAlign w:val="center"/>
            <w:shd w:fill="17365D"/>
          </w:tcPr>
          <w:p>
            <w:pPr>
              <w:spacing w:after="20"/>
            </w:pPr>
            <w:r/>
            <w:r>
              <w:rPr>
                <w:rFonts w:ascii="Aptos" w:hAnsi="Aptos"/>
                <w:b/>
                <w:color w:val="FFFFFF"/>
                <w:sz w:val="18"/>
              </w:rPr>
              <w:t>Task</w:t>
            </w:r>
          </w:p>
        </w:tc>
        <w:tc>
          <w:tcPr>
            <w:tcW w:type="dxa" w:w="3389"/>
            <w:vAlign w:val="center"/>
            <w:shd w:fill="17365D"/>
          </w:tcPr>
          <w:p>
            <w:pPr>
              <w:spacing w:after="20"/>
            </w:pPr>
            <w:r/>
            <w:r>
              <w:rPr>
                <w:rFonts w:ascii="Aptos" w:hAnsi="Aptos"/>
                <w:b/>
                <w:color w:val="FFFFFF"/>
                <w:sz w:val="18"/>
              </w:rPr>
              <w:t>Review</w:t>
            </w:r>
          </w:p>
        </w:tc>
        <w:tc>
          <w:tcPr>
            <w:tcW w:type="dxa" w:w="3389"/>
            <w:vAlign w:val="center"/>
            <w:shd w:fill="17365D"/>
          </w:tcPr>
          <w:p>
            <w:pPr>
              <w:spacing w:after="20"/>
            </w:pPr>
            <w:r/>
            <w:r>
              <w:rPr>
                <w:rFonts w:ascii="Aptos" w:hAnsi="Aptos"/>
                <w:b/>
                <w:color w:val="FFFFFF"/>
                <w:sz w:val="18"/>
              </w:rPr>
              <w:t>Summary</w:t>
            </w:r>
          </w:p>
        </w:tc>
      </w:tr>
      <w:tr>
        <w:trPr/>
        <w:tc>
          <w:tcPr>
            <w:tcW w:type="dxa" w:w="1037"/>
            <w:vAlign w:val="center"/>
            <w:shd w:fill="EAF1F8"/>
          </w:tcPr>
          <w:p>
            <w:pPr>
              <w:spacing w:after="20"/>
            </w:pPr>
            <w:r/>
            <w:r>
              <w:rPr>
                <w:rFonts w:ascii="Aptos" w:hAnsi="Aptos"/>
                <w:b/>
                <w:color w:val="17365D"/>
                <w:sz w:val="18"/>
              </w:rPr>
              <w:t>1</w:t>
            </w:r>
          </w:p>
        </w:tc>
        <w:tc>
          <w:tcPr>
            <w:tcW w:type="dxa" w:w="2131"/>
            <w:vAlign w:val="center"/>
            <w:shd w:fill="EAF1F8"/>
          </w:tcPr>
          <w:p>
            <w:pPr>
              <w:spacing w:after="20"/>
            </w:pPr>
            <w:r/>
            <w:r>
              <w:rPr>
                <w:rFonts w:ascii="Aptos" w:hAnsi="Aptos"/>
                <w:b/>
                <w:color w:val="17365D"/>
                <w:sz w:val="18"/>
              </w:rPr>
              <w:t>Meets design</w:t>
            </w:r>
          </w:p>
        </w:tc>
        <w:tc>
          <w:tcPr>
            <w:tcW w:type="dxa" w:w="6797"/>
            <w:vAlign w:val="center"/>
            <w:shd w:fill="EAF1F8"/>
          </w:tcPr>
          <w:p>
            <w:pPr>
              <w:spacing w:after="20"/>
            </w:pPr>
            <w:r/>
            <w:r>
              <w:rPr>
                <w:rFonts w:ascii="Aptos" w:hAnsi="Aptos"/>
                <w:b w:val="0"/>
                <w:sz w:val="18"/>
              </w:rPr>
              <w:t>One input map, reusable EC2 module, five distinct configurations, tags, protected DB instance, and outputs. Existing key pairs must be provided; the io1 sizing was corrected.</w:t>
            </w:r>
          </w:p>
        </w:tc>
      </w:tr>
      <w:tr>
        <w:trPr/>
        <w:tc>
          <w:tcPr>
            <w:tcW w:type="dxa" w:w="1037"/>
            <w:vAlign w:val="center"/>
            <w:shd w:fill="FFFFFF"/>
          </w:tcPr>
          <w:p>
            <w:pPr>
              <w:spacing w:after="20"/>
            </w:pPr>
            <w:r/>
            <w:r>
              <w:rPr>
                <w:rFonts w:ascii="Aptos" w:hAnsi="Aptos"/>
                <w:b/>
                <w:color w:val="17365D"/>
                <w:sz w:val="18"/>
              </w:rPr>
              <w:t>2</w:t>
            </w:r>
          </w:p>
        </w:tc>
        <w:tc>
          <w:tcPr>
            <w:tcW w:type="dxa" w:w="2131"/>
            <w:vAlign w:val="center"/>
            <w:shd w:fill="FFFFFF"/>
          </w:tcPr>
          <w:p>
            <w:pPr>
              <w:spacing w:after="20"/>
            </w:pPr>
            <w:r/>
            <w:r>
              <w:rPr>
                <w:rFonts w:ascii="Aptos" w:hAnsi="Aptos"/>
                <w:b/>
                <w:color w:val="17365D"/>
                <w:sz w:val="18"/>
              </w:rPr>
              <w:t>Alternative used</w:t>
            </w:r>
          </w:p>
        </w:tc>
        <w:tc>
          <w:tcPr>
            <w:tcW w:type="dxa" w:w="6797"/>
            <w:vAlign w:val="center"/>
            <w:shd w:fill="FFFFFF"/>
          </w:tcPr>
          <w:p>
            <w:pPr>
              <w:spacing w:after="20"/>
            </w:pPr>
            <w:r/>
            <w:r>
              <w:rPr>
                <w:rFonts w:ascii="Aptos" w:hAnsi="Aptos"/>
                <w:b w:val="0"/>
                <w:sz w:val="18"/>
              </w:rPr>
              <w:t>Remote S3 state and native lockfile are configured. DynamoDB locking is deprecated, not unsupported; this differs from the assignment's literal DynamoDB requirement.</w:t>
            </w:r>
          </w:p>
        </w:tc>
      </w:tr>
      <w:tr>
        <w:trPr/>
        <w:tc>
          <w:tcPr>
            <w:tcW w:type="dxa" w:w="1037"/>
            <w:vAlign w:val="center"/>
            <w:shd w:fill="EAF1F8"/>
          </w:tcPr>
          <w:p>
            <w:pPr>
              <w:spacing w:after="20"/>
            </w:pPr>
            <w:r/>
            <w:r>
              <w:rPr>
                <w:rFonts w:ascii="Aptos" w:hAnsi="Aptos"/>
                <w:b/>
                <w:color w:val="17365D"/>
                <w:sz w:val="18"/>
              </w:rPr>
              <w:t>3</w:t>
            </w:r>
          </w:p>
        </w:tc>
        <w:tc>
          <w:tcPr>
            <w:tcW w:type="dxa" w:w="2131"/>
            <w:vAlign w:val="center"/>
            <w:shd w:fill="EAF1F8"/>
          </w:tcPr>
          <w:p>
            <w:pPr>
              <w:spacing w:after="20"/>
            </w:pPr>
            <w:r/>
            <w:r>
              <w:rPr>
                <w:rFonts w:ascii="Aptos" w:hAnsi="Aptos"/>
                <w:b/>
                <w:color w:val="17365D"/>
                <w:sz w:val="18"/>
              </w:rPr>
              <w:t>Implemented</w:t>
            </w:r>
          </w:p>
        </w:tc>
        <w:tc>
          <w:tcPr>
            <w:tcW w:type="dxa" w:w="6797"/>
            <w:vAlign w:val="center"/>
            <w:shd w:fill="EAF1F8"/>
          </w:tcPr>
          <w:p>
            <w:pPr>
              <w:spacing w:after="20"/>
            </w:pPr>
            <w:r/>
            <w:r>
              <w:rPr>
                <w:rFonts w:ascii="Aptos" w:hAnsi="Aptos"/>
                <w:b w:val="0"/>
                <w:sz w:val="18"/>
              </w:rPr>
              <w:t>Exact IAM names, cross-account trust, role policies, and separate account profiles are configured. Real IDs, profiles, and user authentication remain environment setup.</w:t>
            </w:r>
          </w:p>
        </w:tc>
      </w:tr>
      <w:tr>
        <w:trPr/>
        <w:tc>
          <w:tcPr>
            <w:tcW w:type="dxa" w:w="1037"/>
            <w:vAlign w:val="center"/>
            <w:shd w:fill="FFFFFF"/>
          </w:tcPr>
          <w:p>
            <w:pPr>
              <w:spacing w:after="20"/>
            </w:pPr>
            <w:r/>
            <w:r>
              <w:rPr>
                <w:rFonts w:ascii="Aptos" w:hAnsi="Aptos"/>
                <w:b/>
                <w:color w:val="17365D"/>
                <w:sz w:val="18"/>
              </w:rPr>
              <w:t>4</w:t>
            </w:r>
          </w:p>
        </w:tc>
        <w:tc>
          <w:tcPr>
            <w:tcW w:type="dxa" w:w="2131"/>
            <w:vAlign w:val="center"/>
            <w:shd w:fill="FFFFFF"/>
          </w:tcPr>
          <w:p>
            <w:pPr>
              <w:spacing w:after="20"/>
            </w:pPr>
            <w:r/>
            <w:r>
              <w:rPr>
                <w:rFonts w:ascii="Aptos" w:hAnsi="Aptos"/>
                <w:b/>
                <w:color w:val="17365D"/>
                <w:sz w:val="18"/>
              </w:rPr>
              <w:t>Implemented</w:t>
            </w:r>
          </w:p>
        </w:tc>
        <w:tc>
          <w:tcPr>
            <w:tcW w:type="dxa" w:w="6797"/>
            <w:vAlign w:val="center"/>
            <w:shd w:fill="FFFFFF"/>
          </w:tcPr>
          <w:p>
            <w:pPr>
              <w:spacing w:after="20"/>
            </w:pPr>
            <w:r/>
            <w:r>
              <w:rPr>
                <w:rFonts w:ascii="Aptos" w:hAnsi="Aptos"/>
                <w:b w:val="0"/>
                <w:sz w:val="18"/>
              </w:rPr>
              <w:t>Custom CI policy scopes ECR, ECS service updates, PassRole, and read-only S3. One ECS describe action requires Resource = * per AWS authorization guidance.</w:t>
            </w:r>
          </w:p>
        </w:tc>
      </w:tr>
      <w:tr>
        <w:trPr/>
        <w:tc>
          <w:tcPr>
            <w:tcW w:type="dxa" w:w="1037"/>
            <w:vAlign w:val="center"/>
            <w:shd w:fill="EAF1F8"/>
          </w:tcPr>
          <w:p>
            <w:pPr>
              <w:spacing w:after="20"/>
            </w:pPr>
            <w:r/>
            <w:r>
              <w:rPr>
                <w:rFonts w:ascii="Aptos" w:hAnsi="Aptos"/>
                <w:b/>
                <w:color w:val="17365D"/>
                <w:sz w:val="18"/>
              </w:rPr>
              <w:t>5</w:t>
            </w:r>
          </w:p>
        </w:tc>
        <w:tc>
          <w:tcPr>
            <w:tcW w:type="dxa" w:w="2131"/>
            <w:vAlign w:val="center"/>
            <w:shd w:fill="EAF1F8"/>
          </w:tcPr>
          <w:p>
            <w:pPr>
              <w:spacing w:after="20"/>
            </w:pPr>
            <w:r/>
            <w:r>
              <w:rPr>
                <w:rFonts w:ascii="Aptos" w:hAnsi="Aptos"/>
                <w:b/>
                <w:color w:val="17365D"/>
                <w:sz w:val="18"/>
              </w:rPr>
              <w:t>Fixed</w:t>
            </w:r>
          </w:p>
        </w:tc>
        <w:tc>
          <w:tcPr>
            <w:tcW w:type="dxa" w:w="6797"/>
            <w:vAlign w:val="center"/>
            <w:shd w:fill="EAF1F8"/>
          </w:tcPr>
          <w:p>
            <w:pPr>
              <w:spacing w:after="20"/>
            </w:pPr>
            <w:r/>
            <w:r>
              <w:rPr>
                <w:rFonts w:ascii="Aptos" w:hAnsi="Aptos"/>
                <w:b w:val="0"/>
                <w:sz w:val="18"/>
              </w:rPr>
              <w:t>Trust now names the role principal, and S3 access is limited to the named bucket and its objects. This is a standalone example of Task 3 roleC.</w:t>
            </w:r>
          </w:p>
        </w:tc>
      </w:tr>
    </w:tbl>
    <w:p>
      <w:pPr>
        <w:pStyle w:val="Heading1"/>
        <w:keepNext/>
        <w:spacing w:before="160" w:after="80"/>
      </w:pPr>
      <w:r>
        <w:t>Validation performed</w:t>
      </w:r>
    </w:p>
    <w:p>
      <w:pPr>
        <w:pStyle w:val="ListBullet"/>
        <w:spacing w:after="40" w:line="252" w:lineRule="auto"/>
      </w:pPr>
      <w:r>
        <w:t>Terraform formatting check passed for all five task directories.</w:t>
      </w:r>
    </w:p>
    <w:p>
      <w:pPr>
        <w:pStyle w:val="ListBullet"/>
        <w:spacing w:after="40" w:line="252" w:lineRule="auto"/>
      </w:pPr>
      <w:r>
        <w:t>The standalone Task 4 policy JSON parsed successfully; Git diff whitespace check passed.</w:t>
      </w:r>
    </w:p>
    <w:p>
      <w:pPr>
        <w:pStyle w:val="ListBullet"/>
        <w:spacing w:after="40" w:line="252" w:lineRule="auto"/>
      </w:pPr>
      <w:r>
        <w:t>No Terraform validate, plan, or apply was run. The available CLI was Terraform 1.9.6, while the S3 lockfile backend requires 1.10 or newer; deployment also depends on AWS credentials and existing resources.</w:t>
      </w:r>
    </w:p>
    <w:p>
      <w:r>
        <w:br w:type="page"/>
      </w:r>
    </w:p>
    <w:p>
      <w:pPr>
        <w:pStyle w:val="Heading1"/>
        <w:keepNext/>
        <w:spacing w:before="160" w:after="80"/>
      </w:pPr>
      <w:r>
        <w:t>Task 1  |  Multi-instance EC2 provisioning</w:t>
      </w:r>
    </w:p>
    <w:p>
      <w:pPr>
        <w:keepLines w:val="0"/>
        <w:spacing w:after="100" w:line="259" w:lineRule="auto"/>
      </w:pPr>
      <w:r>
        <w:t>A single instances map drives the reusable EC2 module. The five entries have distinct instance types, root volume types, root volume sizes, and key-pair names. The module applies Name, Environment, and Owner tags and returns name-to-ID and name-to-private-IP maps. The database instance uses prevent_destroy = true, with the rationale documented in NOTES.md.</w:t>
      </w:r>
    </w:p>
    <w:p>
      <w:pPr>
        <w:keepLines w:val="0"/>
        <w:spacing w:after="100" w:line="259" w:lineRule="auto"/>
      </w:pPr>
      <w:r>
        <w:t>The io1 database volume is now 60 GiB with 3,000 IOPS. AWS limits io1 to 50 IOPS per GiB, so this configuration stays within the documented ratio. The five configured key-pair names were reported missing in the earlier AWS errors. Replace them with five existing key pairs in the target account and region before apply; Terraform does not create private keys.</w:t>
      </w:r>
    </w:p>
    <w:p>
      <w:pPr>
        <w:pStyle w:val="Heading1"/>
        <w:keepNext/>
        <w:spacing w:before="160" w:after="80"/>
      </w:pPr>
      <w:r>
        <w:t>Task 2  |  Remote state and locking</w:t>
      </w:r>
    </w:p>
    <w:p>
      <w:pPr>
        <w:keepLines w:val="0"/>
        <w:spacing w:after="100" w:line="259" w:lineRule="auto"/>
      </w:pPr>
      <w:r>
        <w:t>The backend stores state in the shared S3 bucket and enables S3-native locking with use_lockfile = true. A .tflock object coordinates concurrent Terraform operations on the same state key. The notes explain why separate local state copies can diverge and clarify that locking does not coordinate manual AWS changes.</w:t>
      </w:r>
    </w:p>
    <w:p>
      <w:pPr>
        <w:keepLines w:val="0"/>
        <w:spacing w:after="100" w:line="259" w:lineRule="auto"/>
      </w:pPr>
      <w:r>
        <w:t>The assignment specifies DynamoDB locking. The implementation instead uses the S3-native lockfile at the user's direction. HashiCorp documents DynamoDB locking as deprecated, not removed or unsupported. The state bucket must already exist and should have versioning enabled for recovery.</w:t>
      </w:r>
    </w:p>
    <w:p>
      <w:pPr>
        <w:pStyle w:val="Heading1"/>
        <w:keepNext/>
        <w:spacing w:before="160" w:after="80"/>
      </w:pPr>
      <w:r>
        <w:t>Task 3  |  Multi-account IAM</w:t>
      </w:r>
    </w:p>
    <w:p>
      <w:pPr>
        <w:keepLines w:val="0"/>
        <w:spacing w:after="100" w:line="259" w:lineRule="auto"/>
      </w:pPr>
      <w:r>
        <w:t>The configuration uses the exact names group1, group2, engine, ci, alice, bob, roleA, roleB, and roleC. group1 contains engine and ci; group2 contains alice and bob and receives AdministratorAccess. roleA uses NotAction to exclude IAM. roleB's only identity permission is sts:AssumeRole on roleC, and roleC trusts roleB specifically and is limited to the named S3 bucket.</w:t>
      </w:r>
    </w:p>
    <w:p>
      <w:pPr>
        <w:keepLines w:val="0"/>
        <w:spacing w:after="100" w:line="259" w:lineRule="auto"/>
      </w:pPr>
      <w:r>
        <w:t>The notes answer both production questions: use OIDC for CI, IAM Identity Center for human engineers, and workload roles for AWS workloads; trust roleB's ARN to avoid trusting every suitably authorized Account A principal. The two AWS provider aliases use separate CLI profiles and validate the account IDs. No user passwords or access keys are written to Terraform state; authentication must be provisioned through the organization's identity process.</w:t>
      </w:r>
    </w:p>
    <w:p>
      <w:r>
        <w:br w:type="page"/>
      </w:r>
    </w:p>
    <w:p>
      <w:pPr>
        <w:pStyle w:val="Heading1"/>
        <w:keepNext/>
        <w:spacing w:before="160" w:after="80"/>
      </w:pPr>
      <w:r>
        <w:t>Task 4  |  Least-privilege CI policy</w:t>
      </w:r>
    </w:p>
    <w:p>
      <w:pPr>
        <w:keepLines w:val="0"/>
        <w:spacing w:after="100" w:line="259" w:lineRule="auto"/>
      </w:pPr>
      <w:r>
        <w:t>The custom policy attaches to the Task 3 ci user. It allows Docker push operations on one ECR repository, task-definition registration for the configured family, updating one ECS service only to that family, and read/list access to the artifacts bucket. iam:PassRole is limited to the two named ECS task roles and the ECS tasks service.</w:t>
      </w:r>
    </w:p>
    <w:p>
      <w:pPr>
        <w:keepLines w:val="0"/>
        <w:spacing w:after="100" w:line="259" w:lineRule="auto"/>
      </w:pPr>
      <w:r>
        <w:t>ecr:GetAuthorizationToken uses Resource = * because AWS does not support repository-level resource scoping for that action. ecs:DescribeTaskDefinition is separately allowed with Resource = * because ECS does not support resource-level scoping for that action. These exceptions are limited to the required actions; the policy excludes artifact writes, repository administration, service creation/deletion, and IAM changes.</w:t>
      </w:r>
    </w:p>
    <w:p>
      <w:pPr>
        <w:keepLines w:val="0"/>
        <w:spacing w:after="100" w:line="259" w:lineRule="auto"/>
      </w:pPr>
      <w:r>
        <w:t>The ECR repository, ECS cluster/service, task roles, and artifacts bucket must already exist and match the sandbox values. The standalone ci-policy.json uses an example Account A ID that must be replaced before use in a real account.</w:t>
      </w:r>
    </w:p>
    <w:p>
      <w:pPr>
        <w:pStyle w:val="Heading1"/>
        <w:keepNext/>
        <w:spacing w:before="160" w:after="80"/>
      </w:pPr>
      <w:r>
        <w:t>Task 5  |  Find and fix the bug</w:t>
      </w:r>
    </w:p>
    <w:p>
      <w:pPr>
        <w:keepLines w:val="0"/>
        <w:spacing w:after="100" w:line="259" w:lineRule="auto"/>
      </w:pPr>
      <w:r>
        <w:t>The trust policy used a user ARN for roleB. The corrected policy uses the IAM role ARN, so the trusted principal matches the caller. The permissions policy used s3:* on Resource = *, which grants S3 access far beyond the required bucket. The corrected policy keeps full S3 actions but restricts them to the bucket ARN and its object ARN. NOTES.md explains both failures and the need for roleB's identity policy as well as roleC's trust policy.</w:t>
      </w:r>
    </w:p>
    <w:p>
      <w:pPr>
        <w:keepLines w:val="0"/>
        <w:spacing w:after="100" w:line="259" w:lineRule="auto"/>
      </w:pPr>
      <w:r>
        <w:t>Task 5 is a standalone corrected example of roleC, which Task 3 also creates. Do not apply both task configurations as separate Terraform states to the same accounts; use Task 5 as the code-fix answer or manage/import the shared role in one state.</w:t>
      </w:r>
    </w:p>
    <w:p>
      <w:pPr>
        <w:pStyle w:val="Heading1"/>
        <w:keepNext/>
        <w:spacing w:before="160" w:after="80"/>
      </w:pPr>
      <w:r>
        <w:t>Before running Terraform</w:t>
      </w:r>
    </w:p>
    <w:p>
      <w:pPr>
        <w:pStyle w:val="ListBullet"/>
        <w:spacing w:after="40" w:line="252" w:lineRule="auto"/>
      </w:pPr>
      <w:r>
        <w:t>Upgrade the local Terraform CLI to 1.10 or later and ensure that version appears first on PATH.</w:t>
      </w:r>
    </w:p>
    <w:p>
      <w:pPr>
        <w:pStyle w:val="ListBullet"/>
        <w:spacing w:after="40" w:line="252" w:lineRule="auto"/>
      </w:pPr>
      <w:r>
        <w:t>Replace the 000000000000 and 111111111111 account placeholders with the authenticated account IDs; configure arrise-account-a and arrise-account-b CLI profiles.</w:t>
      </w:r>
    </w:p>
    <w:p>
      <w:pPr>
        <w:pStyle w:val="ListBullet"/>
        <w:spacing w:after="40" w:line="252" w:lineRule="auto"/>
      </w:pPr>
      <w:r>
        <w:t>Ensure arrise-devops-tfstate exists, is versioned, and is accessible to the credentials used during terraform init.</w:t>
      </w:r>
    </w:p>
    <w:p>
      <w:pPr>
        <w:pStyle w:val="ListBullet"/>
        <w:spacing w:after="40" w:line="252" w:lineRule="auto"/>
      </w:pPr>
      <w:r>
        <w:t>Replace the five missing EC2 key-pair names with existing distinct key pairs. Ensure all Task 4 target resources and the named S3 buckets exist; S3 bucket names must be globally unique.</w:t>
      </w:r>
    </w:p>
    <w:p>
      <w:pPr>
        <w:pStyle w:val="ListBullet"/>
        <w:spacing w:after="40" w:line="252" w:lineRule="auto"/>
      </w:pPr>
      <w:r>
        <w:t>Apply Task 3 before Task 4. Do not apply Task 5 after Task 3 to the same accounts as a separate state.</w:t>
      </w:r>
    </w:p>
    <w:p>
      <w:pPr>
        <w:pStyle w:val="Heading1"/>
        <w:keepNext/>
        <w:spacing w:before="160" w:after="80"/>
      </w:pPr>
      <w:r>
        <w:t>Reference material</w:t>
      </w:r>
    </w:p>
    <w:p>
      <w:pPr>
        <w:keepLines w:val="0"/>
        <w:spacing w:after="40" w:line="259" w:lineRule="auto"/>
      </w:pPr>
      <w:r>
        <w:t>Terraform S3 backend and locking: developer.hashicorp.com/terraform/language/backend/s3</w:t>
      </w:r>
    </w:p>
    <w:p>
      <w:pPr>
        <w:keepLines w:val="0"/>
        <w:spacing w:after="40" w:line="259" w:lineRule="auto"/>
      </w:pPr>
      <w:r>
        <w:t>AWS io1 performance limits: docs.aws.amazon.com/ebs/latest/userguide/provisioned-iops.html</w:t>
      </w:r>
    </w:p>
    <w:p>
      <w:pPr>
        <w:keepLines w:val="0"/>
        <w:spacing w:after="40" w:line="259" w:lineRule="auto"/>
      </w:pPr>
      <w:r>
        <w:t>AWS ECS IAM policy examples: docs.aws.amazon.com/AmazonECS/latest/developerguide/security_iam_id-based-policy-examples.html</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ptos" w:hAnsi="Aptos"/>
        <w:b/>
        <w:color w:val="5B6573"/>
        <w:sz w:val="16"/>
      </w:rPr>
      <w:t>ARRISE CLOUD DEVOPS ASSESSMENT  |  IMPLEMENTATION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b w:val="0"/>
      <w:color w:val="222222"/>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Assignment Review</dc:title>
  <dc:subject>Review of Terraform assessment tasks 1 through 5</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