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Test Plan</w:t>
      </w:r>
    </w:p>
    <w:p>
      <w:r>
        <w:t>Project: Reservation test generation strategy</w:t>
      </w:r>
    </w:p>
    <w:p>
      <w:r>
        <w:t>Documentation Mode: General Software</w:t>
      </w:r>
    </w:p>
    <w:p>
      <w:pPr>
        <w:pStyle w:val="Heading2"/>
      </w:pPr>
      <w:r>
        <w:t>Project Scope</w:t>
      </w:r>
    </w:p>
    <w:p>
      <w:pPr>
        <w:pStyle w:val="ListBullet"/>
      </w:pPr>
      <w:r>
        <w:t>Validate search, seat holds, card payment outcomes, booking state transitions, capacity changes, notifications, payment-event handling, and supported desktop browsers for release 2.4.</w:t>
      </w:r>
    </w:p>
    <w:p>
      <w:pPr>
        <w:pStyle w:val="ListBullet"/>
      </w:pPr>
      <w:r>
        <w:t>Exclude multi-passenger bookings, group bookings, unaccompanied minors, partial payment, split tender, vouchers, corporate accounts, schedule changes, refunds after successful ticket issue, check-in, departure-control systems, and crew systems.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REQ-F-001: FR-001: A traveler can search published flights by origin, destination, and date and see remaining sellable seats for each fare.</w:t>
      </w:r>
    </w:p>
    <w:p>
      <w:pPr>
        <w:pStyle w:val="ListBullet"/>
      </w:pPr>
      <w:r>
        <w:t>REQ-F-002: FR-002: Selecting a fare creates a pending booking and reserves the requested seats, and the reservation expires if payment is not completed within the hold window.</w:t>
      </w:r>
    </w:p>
    <w:p>
      <w:pPr>
        <w:pStyle w:val="ListBullet"/>
      </w:pPr>
      <w:r>
        <w:t>REQ-F-003: FR-003: The traveler pays the displayed total by card, and the amount charged equals the total shown at hold time.</w:t>
      </w:r>
    </w:p>
    <w:p>
      <w:pPr>
        <w:pStyle w:val="ListBullet"/>
      </w:pPr>
      <w:r>
        <w:t>REQ-F-004: FR-004: On a successful payment event, the pending booking becomes confirmed, the seat reservation becomes a sold seat, and the traveler receives one confirmation email containing the booking reference.</w:t>
      </w:r>
    </w:p>
    <w:p>
      <w:pPr>
        <w:pStyle w:val="ListBullet"/>
      </w:pPr>
      <w:r>
        <w:t>REQ-F-005: FR-005: If payment fails, the system cancels the pending booking, restores reserved capacity, and avoids duplicate cancellation during repeated event delivery.</w:t>
      </w:r>
    </w:p>
    <w:p>
      <w:pPr>
        <w:pStyle w:val="ListBullet"/>
      </w:pPr>
      <w:r>
        <w:t>REQ-F-006: FR-006: A failed payment must not issue a ticket or send a confirmation email.</w:t>
      </w:r>
    </w:p>
    <w:p>
      <w:pPr>
        <w:pStyle w:val="ListBullet"/>
      </w:pPr>
      <w:r>
        <w:t>REQ-F-007: FR-007: Repeating the same failed-payment event leaves the booking cancelled once and does not increase available seats a second time.</w:t>
      </w:r>
    </w:p>
    <w:p>
      <w:pPr>
        <w:pStyle w:val="ListBullet"/>
      </w:pPr>
      <w:r>
        <w:t>REQ-F-008: FR-008: A payment event for an unknown booking reference is recorded and ignored without changing capacity.</w:t>
      </w:r>
    </w:p>
    <w:p>
      <w:pPr>
        <w:pStyle w:val="ListBullet"/>
      </w:pPr>
      <w:r>
        <w:t>REQ-F-009: FR-009: After a failed payment, the traveler sees a payment-failed message, can start a new search, and cannot pay the cancelled booking reference again.</w:t>
      </w:r>
    </w:p>
    <w:p>
      <w:pPr>
        <w:pStyle w:val="ListBullet"/>
      </w:pPr>
      <w:r>
        <w:t>REQ-F-010: FR-010: Every capacity change records the booking reference, event identifier, seat count, and UTC time.</w:t>
      </w:r>
    </w:p>
    <w:p>
      <w:pPr>
        <w:pStyle w:val="ListBullet"/>
      </w:pPr>
      <w:r>
        <w:t>REQ-F-011: BR-001: The hold window is 15 minutes from pending booking creation and is the same for every fare in release 2.4.</w:t>
      </w:r>
    </w:p>
    <w:p>
      <w:pPr>
        <w:pStyle w:val="ListBullet"/>
      </w:pPr>
      <w:r>
        <w:t>REQ-F-012: BR-002: Available seats must not go below zero.</w:t>
      </w:r>
    </w:p>
    <w:p>
      <w:pPr>
        <w:pStyle w:val="ListBullet"/>
      </w:pPr>
      <w:r>
        <w:t>REQ-F-013: BR-003: Restoring capacity adds back only the seats reserved for the pending booking.</w:t>
      </w:r>
    </w:p>
    <w:p>
      <w:pPr>
        <w:pStyle w:val="ListBullet"/>
      </w:pPr>
      <w:r>
        <w:t>REQ-F-014: BR-004: A confirmation email is sent only after the booking state changes from pending to confirmed.</w:t>
      </w:r>
    </w:p>
    <w:p>
      <w:pPr>
        <w:pStyle w:val="ListBullet"/>
      </w:pPr>
      <w:r>
        <w:t>REQ-F-015: BR-005: A failed event arriving after successful confirmation is quarantined for staff review and does not cancel the confirmed booking.</w:t>
      </w:r>
    </w:p>
    <w:p>
      <w:pPr>
        <w:pStyle w:val="Heading2"/>
      </w:pPr>
      <w:r>
        <w:t>Nonfunctional Requirements</w:t>
      </w:r>
    </w:p>
    <w:p>
      <w:pPr>
        <w:pStyle w:val="ListBullet"/>
      </w:pPr>
      <w:r>
        <w:t>REQ-NF-001: NFR-001: Applying a payment-failed event, including capacity restore, completes within 5 seconds for a single booking under normal load.</w:t>
      </w:r>
    </w:p>
    <w:p>
      <w:pPr>
        <w:pStyle w:val="ListBullet"/>
      </w:pPr>
      <w:r>
        <w:t>REQ-NF-002: NFR-002: Payment event handling is safe when the same event is delivered more than once.</w:t>
      </w:r>
    </w:p>
    <w:p>
      <w:pPr>
        <w:pStyle w:val="ListBullet"/>
      </w:pPr>
      <w:r>
        <w:t>REQ-NF-003: NFR-003: Card numbers and card security codes are not stored by Northline Reservations, and only the payment-provider reference is stored.</w:t>
      </w:r>
    </w:p>
    <w:p>
      <w:pPr>
        <w:pStyle w:val="ListBullet"/>
      </w:pPr>
      <w:r>
        <w:t>REQ-NF-004: NFR-004: Booking and capacity records are encrypted in transit, and access to support tools requires an authenticated staff role.</w:t>
      </w:r>
    </w:p>
    <w:p>
      <w:pPr>
        <w:pStyle w:val="ListBullet"/>
      </w:pPr>
      <w:r>
        <w:t>REQ-NF-005: NFR-005: The booking pages work on current versions of Chrome, Safari, Firefox, and Edge on a desktop browser.</w:t>
      </w:r>
    </w:p>
    <w:p>
      <w:pPr>
        <w:pStyle w:val="Heading2"/>
      </w:pPr>
      <w:r>
        <w:t>Test Strategy</w:t>
      </w:r>
    </w:p>
    <w:p>
      <w:pPr>
        <w:pStyle w:val="ListBullet"/>
      </w:pPr>
      <w:r>
        <w:t>Use representative functional, negative, duplicate-event, expiry-race, security, performance, and cross-browser tests with the stub payment provider and known starting seat counts.</w:t>
      </w:r>
    </w:p>
    <w:p>
      <w:pPr>
        <w:pStyle w:val="ListBullet"/>
      </w:pPr>
      <w:r>
        <w:t>Trace each test to extracted requirements and source-supported risks, validating booking state, capacity, event records, notifications, payment data handling, timing, and access controls.</w:t>
      </w:r>
    </w:p>
    <w:p>
      <w:pPr>
        <w:pStyle w:val="ListBullet"/>
      </w:pPr>
      <w:r>
        <w:t>Record execution as Not Executed / Not provided because no release 2.4 execution evidence, defect counts, or approval signatures are available.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All five representative test cases pass their measurable expected results with no unexplained booking, capacity, event, notification, security, timing, or compatibility discrepancies.</w:t>
      </w:r>
    </w:p>
    <w:p>
      <w:pPr>
        <w:pStyle w:val="ListBullet"/>
      </w:pPr>
      <w:r>
        <w:t>Payment failure handling preserves idempotency, restores only eligible seats, protects confirmed bookings, records capacity changes, and meets the 5-second single-booking target where applicable.</w:t>
      </w:r>
    </w:p>
    <w:p>
      <w:pPr>
        <w:pStyle w:val="ListBullet"/>
      </w:pPr>
      <w:r>
        <w:t>Execution evidence, defect disposition, approval signatures, payment-failed wording, retry and alert behavior, processor-timeout behavior, and applicable performance targets are resolved or explicitly accepted before release.</w:t>
      </w:r>
    </w:p>
    <w:p>
      <w:pPr>
        <w:pStyle w:val="Heading2"/>
      </w:pPr>
      <w:r>
        <w:t>Work by Tester Role</w:t>
      </w:r>
    </w:p>
    <w:p>
      <w:r>
        <w:t>Each test case has one executing role. The test lead confirms these draft assignments before execution. Risk Reviewer checks risk-linked cases and does not replace the executor.</w:t>
      </w:r>
    </w:p>
    <w:p>
      <w:pPr>
        <w:pStyle w:val="Heading3"/>
      </w:pPr>
      <w:r>
        <w:t>Test Lead</w:t>
      </w:r>
    </w:p>
    <w:p>
      <w:r>
        <w:t>Owns scope, priorities, entry and exit criteria, and unresolved decisions in this test plan.</w:t>
      </w:r>
    </w:p>
    <w:p>
      <w:pPr>
        <w:pStyle w:val="Heading3"/>
      </w:pPr>
      <w:r>
        <w:t>Manual Tester</w:t>
      </w:r>
    </w:p>
    <w:p>
      <w:pPr>
        <w:pStyle w:val="ListBullet"/>
      </w:pPr>
      <w:r>
        <w:t>TC-001 — Non-functional</w:t>
      </w:r>
    </w:p>
    <w:p>
      <w:pPr>
        <w:pStyle w:val="ListBullet"/>
      </w:pPr>
      <w:r>
        <w:t>TC-002 — Non-functional</w:t>
      </w:r>
    </w:p>
    <w:p>
      <w:pPr>
        <w:pStyle w:val="ListBullet"/>
      </w:pPr>
      <w:r>
        <w:t>TC-004 — Failure and recovery</w:t>
      </w:r>
    </w:p>
    <w:p>
      <w:pPr>
        <w:pStyle w:val="ListBullet"/>
      </w:pPr>
      <w:r>
        <w:t>TC-005 — Non-functional</w:t>
      </w:r>
    </w:p>
    <w:p>
      <w:pPr>
        <w:pStyle w:val="Heading3"/>
      </w:pPr>
      <w:r>
        <w:t>Automation Engineer</w:t>
      </w:r>
    </w:p>
    <w:p>
      <w:pPr>
        <w:pStyle w:val="ListBullet"/>
      </w:pPr>
      <w:r>
        <w:t>TC-003 — Non-functional</w:t>
      </w:r>
    </w:p>
    <w:p>
      <w:r>
        <w:t>Automation assessment: determine candidates during the full generation workflow.</w:t>
      </w:r>
    </w:p>
    <w:p>
      <w:pPr>
        <w:pStyle w:val="Heading3"/>
      </w:pPr>
      <w:r>
        <w:t>Risk Reviewer</w:t>
      </w:r>
    </w:p>
    <w:p>
      <w:pPr>
        <w:pStyle w:val="ListBullet"/>
      </w:pPr>
      <w:r>
        <w:t>None assigned.</w:t>
      </w:r>
    </w:p>
    <w:p>
      <w:pPr>
        <w:pStyle w:val="Heading2"/>
      </w:pPr>
      <w:r>
        <w:t>Source-Supported Risk Information</w:t>
      </w:r>
    </w:p>
    <w:p>
      <w:pPr>
        <w:pStyle w:val="ListBullet"/>
      </w:pPr>
      <w:r>
        <w:t>RSK-001: Duplicate PaymentFailed delivery restores seats twice, causing sellable seat count to exceed cabin capacity and overselling the flight. (controls: RC-001)</w:t>
      </w:r>
    </w:p>
    <w:p>
      <w:pPr>
        <w:pStyle w:val="ListBullet"/>
      </w:pPr>
      <w:r>
        <w:t>RSK-002: Payment failure cancels the booking but capacity restore fails, leaving seats reserved for a booking that will never be paid. (controls: RC-002)</w:t>
      </w:r>
    </w:p>
    <w:p>
      <w:pPr>
        <w:pStyle w:val="ListBullet"/>
      </w:pPr>
      <w:r>
        <w:t>RSK-003: Hold expiry and PaymentFailed both release the same seats, returning the seats twice for one failed payment. (controls: RC-003)</w:t>
      </w:r>
    </w:p>
    <w:p>
      <w:pPr>
        <w:pStyle w:val="ListBullet"/>
      </w:pPr>
      <w:r>
        <w:t>RSK-004: A late PaymentFailed event cancels a booking that was already confirmed, causing a paid traveler to lose a confirmed seat. (controls: RC-004)</w:t>
      </w:r>
    </w:p>
    <w:p>
      <w:pPr>
        <w:pStyle w:val="ListBullet"/>
      </w:pPr>
      <w:r>
        <w:t>RSK-005: The displayed total and captured amount differ, causing the traveler to be charged a different amount from the accepted fare. (controls: RC-005)</w:t>
      </w:r>
    </w:p>
    <w:p>
      <w:pPr>
        <w:pStyle w:val="ListBullet"/>
      </w:pPr>
      <w:r>
        <w:t>RSK-006: An unknown booking reference changes a flight seat count, moving capacity without a matching booking. (controls: RC-006)</w:t>
      </w:r>
    </w:p>
    <w:p>
      <w:pPr>
        <w:pStyle w:val="Heading2"/>
      </w:pPr>
      <w:r>
        <w:t>Work by Test Type</w:t>
      </w:r>
    </w:p>
    <w:p>
      <w:pPr>
        <w:pStyle w:val="Heading3"/>
      </w:pPr>
      <w:r>
        <w:t>Functional</w:t>
      </w:r>
    </w:p>
    <w:p>
      <w:pPr>
        <w:pStyle w:val="ListBullet"/>
      </w:pPr>
      <w:r>
        <w:t>None assigned.</w:t>
      </w:r>
    </w:p>
    <w:p>
      <w:pPr>
        <w:pStyle w:val="Heading3"/>
      </w:pPr>
      <w:r>
        <w:t>Negative</w:t>
      </w:r>
    </w:p>
    <w:p>
      <w:pPr>
        <w:pStyle w:val="ListBullet"/>
      </w:pPr>
      <w:r>
        <w:t>None assigned.</w:t>
      </w:r>
    </w:p>
    <w:p>
      <w:pPr>
        <w:pStyle w:val="Heading3"/>
      </w:pPr>
      <w:r>
        <w:t>Boundary</w:t>
      </w:r>
    </w:p>
    <w:p>
      <w:pPr>
        <w:pStyle w:val="ListBullet"/>
      </w:pPr>
      <w:r>
        <w:t>None assigned.</w:t>
      </w:r>
    </w:p>
    <w:p>
      <w:pPr>
        <w:pStyle w:val="Heading3"/>
      </w:pPr>
      <w:r>
        <w:t>Failure and recovery</w:t>
      </w:r>
    </w:p>
    <w:p>
      <w:pPr>
        <w:pStyle w:val="ListBullet"/>
      </w:pPr>
      <w:r>
        <w:t>TC-004 — Manual Tester</w:t>
      </w:r>
    </w:p>
    <w:p>
      <w:pPr>
        <w:pStyle w:val="Heading3"/>
      </w:pPr>
      <w:r>
        <w:t>Non-functional</w:t>
      </w:r>
    </w:p>
    <w:p>
      <w:pPr>
        <w:pStyle w:val="ListBullet"/>
      </w:pPr>
      <w:r>
        <w:t>TC-001 — Manual Tester</w:t>
      </w:r>
    </w:p>
    <w:p>
      <w:pPr>
        <w:pStyle w:val="ListBullet"/>
      </w:pPr>
      <w:r>
        <w:t>TC-002 — Manual Tester</w:t>
      </w:r>
    </w:p>
    <w:p>
      <w:pPr>
        <w:pStyle w:val="ListBullet"/>
      </w:pPr>
      <w:r>
        <w:t>TC-003 — Automation Engineer</w:t>
      </w:r>
    </w:p>
    <w:p>
      <w:pPr>
        <w:pStyle w:val="ListBullet"/>
      </w:pPr>
      <w:r>
        <w:t>TC-005 — Manual Tester</w:t>
      </w:r>
    </w:p>
    <w:p>
      <w:pPr>
        <w:pStyle w:val="Heading3"/>
      </w:pPr>
      <w:r>
        <w:t>Integration</w:t>
      </w:r>
    </w:p>
    <w:p>
      <w:pPr>
        <w:pStyle w:val="ListBullet"/>
      </w:pPr>
      <w:r>
        <w:t>None assigned.</w:t>
      </w:r>
    </w:p>
    <w:p>
      <w:pPr>
        <w:pStyle w:val="Heading3"/>
      </w:pPr>
      <w:r>
        <w:t>Regression</w:t>
      </w:r>
    </w:p>
    <w:p>
      <w:pPr>
        <w:pStyle w:val="ListBullet"/>
      </w:pPr>
      <w:r>
        <w:t>None assigned.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</dc:title>
  <dc:subject>General Software test documentation</dc:subject>
  <dc:creator>Test Strategy Protocol Generator</dc:creator>
  <cp:keywords>Reservation test generation strategy, General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