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1261872" cy="7098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图形字组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709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243857"/>
          <w:sz w:val="48"/>
        </w:rPr>
        <w:t>过嘉嘉集团 DoublePlus 新人认证试卷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EB662A"/>
          <w:sz w:val="24"/>
        </w:rPr>
        <w:t>无答案版｜MKT-NPL-PM-ALA 全链路与租赁权论证认证</w:t>
      </w:r>
    </w:p>
    <w:p>
      <w:pPr>
        <w:spacing w:before="0" w:after="80" w:line="283" w:lineRule="auto"/>
        <w:jc w:val="center"/>
      </w:pPr>
      <w:r>
        <w:rPr>
          <w:rFonts w:ascii="Noto Sans CJK SC" w:hAnsi="Noto Sans CJK SC" w:eastAsia="Noto Sans CJK SC" w:cs="Noto Sans CJK SC"/>
          <w:b w:val="0"/>
          <w:color w:val="5C6B80"/>
          <w:sz w:val="21"/>
        </w:rPr>
        <w:t>适用对象：NPL销售新人、转岗复训、组长带教、训练官认证。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  <w:shd w:fill="243857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2570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  <w:shd w:fill="243857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部门</w:t>
            </w:r>
          </w:p>
        </w:tc>
        <w:tc>
          <w:tcPr>
            <w:tcW w:type="dxa" w:w="2570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  <w:shd w:fill="243857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考试日期</w:t>
            </w:r>
          </w:p>
        </w:tc>
        <w:tc>
          <w:tcPr>
            <w:tcW w:type="dxa" w:w="2570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  <w:shd w:fill="243857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阅卷人</w:t>
            </w:r>
          </w:p>
        </w:tc>
      </w:tr>
      <w:tr>
        <w:tc>
          <w:tcPr>
            <w:tcW w:type="dxa" w:w="2570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</w:tcPr>
          <w:p>
            <w:r>
              <w:rPr>
                <w:rFonts w:ascii="Noto Sans CJK SC" w:hAnsi="Noto Sans CJK SC" w:eastAsia="Noto Sans CJK SC" w:cs="Noto Sans CJK SC"/>
              </w:rPr>
              <w:t xml:space="preserve">                </w:t>
            </w:r>
          </w:p>
        </w:tc>
        <w:tc>
          <w:tcPr>
            <w:tcW w:type="dxa" w:w="2570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</w:tcPr>
          <w:p>
            <w:r>
              <w:rPr>
                <w:rFonts w:ascii="Noto Sans CJK SC" w:hAnsi="Noto Sans CJK SC" w:eastAsia="Noto Sans CJK SC" w:cs="Noto Sans CJK SC"/>
              </w:rPr>
              <w:t xml:space="preserve">                </w:t>
            </w:r>
          </w:p>
        </w:tc>
        <w:tc>
          <w:tcPr>
            <w:tcW w:type="dxa" w:w="2570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</w:tcPr>
          <w:p>
            <w:r>
              <w:rPr>
                <w:rFonts w:ascii="Noto Sans CJK SC" w:hAnsi="Noto Sans CJK SC" w:eastAsia="Noto Sans CJK SC" w:cs="Noto Sans CJK SC"/>
              </w:rPr>
              <w:t xml:space="preserve">                </w:t>
            </w:r>
          </w:p>
        </w:tc>
        <w:tc>
          <w:tcPr>
            <w:tcW w:type="dxa" w:w="2570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</w:tcPr>
          <w:p>
            <w:r>
              <w:rPr>
                <w:rFonts w:ascii="Noto Sans CJK SC" w:hAnsi="Noto Sans CJK SC" w:eastAsia="Noto Sans CJK SC" w:cs="Noto Sans CJK SC"/>
              </w:rPr>
              <w:t xml:space="preserve">                </w:t>
            </w:r>
          </w:p>
        </w:tc>
      </w:tr>
    </w:tbl>
    <w:p>
      <w:pPr>
        <w:spacing w:before="0" w:after="80" w:line="283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tcBorders>
              <w:top w:val="single" w:sz="6" w:space="0" w:color="F0C7B0"/>
              <w:left w:val="single" w:sz="6" w:space="0" w:color="F0C7B0"/>
              <w:bottom w:val="single" w:sz="6" w:space="0" w:color="F0C7B0"/>
              <w:right w:val="single" w:sz="6" w:space="0" w:color="F0C7B0"/>
            </w:tcBorders>
            <w:vAlign w:val="top"/>
            <w:shd w:fill="FFF4EC"/>
          </w:tcPr>
          <w:p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EB662A"/>
                <w:sz w:val="23"/>
              </w:rPr>
              <w:t>🧭 考试说明</w:t>
            </w:r>
          </w:p>
          <w:p>
            <w:r>
              <w:rPr>
                <w:rFonts w:ascii="Noto Sans CJK SC" w:hAnsi="Noto Sans CJK SC" w:eastAsia="Noto Sans CJK SC" w:cs="Noto Sans CJK SC"/>
                <w:color w:val="3D4A5D"/>
                <w:sz w:val="20"/>
              </w:rPr>
              <w:t>满分100分，建议考试时间90分钟。答题时不得只背结论，要体现事实判断、部门边界、流程顺序、风险红线和收益回收逻辑。</w:t>
            </w:r>
          </w:p>
          <w:p>
            <w:r>
              <w:rPr>
                <w:rFonts w:ascii="Noto Sans CJK SC" w:hAnsi="Noto Sans CJK SC" w:eastAsia="Noto Sans CJK SC" w:cs="Noto Sans CJK SC"/>
                <w:color w:val="3D4A5D"/>
                <w:sz w:val="20"/>
              </w:rPr>
              <w:t>评分重点：是否能把MKT客资、NPL转化、PM长周期服务、ALA出租回收贯通说明。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c>
          <w:tcPr>
            <w:tcW w:type="dxa" w:w="1469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  <w:shd w:fill="F5822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题型</w:t>
            </w:r>
          </w:p>
        </w:tc>
        <w:tc>
          <w:tcPr>
            <w:tcW w:type="dxa" w:w="1469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  <w:shd w:fill="F5822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单选</w:t>
            </w:r>
          </w:p>
        </w:tc>
        <w:tc>
          <w:tcPr>
            <w:tcW w:type="dxa" w:w="1469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  <w:shd w:fill="F5822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多选</w:t>
            </w:r>
          </w:p>
        </w:tc>
        <w:tc>
          <w:tcPr>
            <w:tcW w:type="dxa" w:w="1469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  <w:shd w:fill="F5822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1469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  <w:shd w:fill="F5822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填空</w:t>
            </w:r>
          </w:p>
        </w:tc>
        <w:tc>
          <w:tcPr>
            <w:tcW w:type="dxa" w:w="1469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  <w:shd w:fill="F5822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简答</w:t>
            </w:r>
          </w:p>
        </w:tc>
        <w:tc>
          <w:tcPr>
            <w:tcW w:type="dxa" w:w="1469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  <w:shd w:fill="F5822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情景</w:t>
            </w:r>
          </w:p>
        </w:tc>
      </w:tr>
      <w:tr>
        <w:tc>
          <w:tcPr>
            <w:tcW w:type="dxa" w:w="1469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分值</w:t>
            </w:r>
          </w:p>
        </w:tc>
        <w:tc>
          <w:tcPr>
            <w:tcW w:type="dxa" w:w="1469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25分</w:t>
            </w:r>
          </w:p>
        </w:tc>
        <w:tc>
          <w:tcPr>
            <w:tcW w:type="dxa" w:w="1469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20分</w:t>
            </w:r>
          </w:p>
        </w:tc>
        <w:tc>
          <w:tcPr>
            <w:tcW w:type="dxa" w:w="1469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15分</w:t>
            </w:r>
          </w:p>
        </w:tc>
        <w:tc>
          <w:tcPr>
            <w:tcW w:type="dxa" w:w="1469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10分</w:t>
            </w:r>
          </w:p>
        </w:tc>
        <w:tc>
          <w:tcPr>
            <w:tcW w:type="dxa" w:w="1469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20分</w:t>
            </w:r>
          </w:p>
        </w:tc>
        <w:tc>
          <w:tcPr>
            <w:tcW w:type="dxa" w:w="1469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10分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243857"/>
          <w:sz w:val="36"/>
        </w:rPr>
        <w:t>一、单选题（25题，每题1分）</w:t>
      </w:r>
    </w:p>
    <w:p>
      <w:pPr>
        <w:spacing w:before="0" w:after="80" w:line="283" w:lineRule="auto"/>
      </w:pPr>
      <w:r>
        <w:rPr>
          <w:rFonts w:ascii="Noto Sans CJK SC" w:hAnsi="Noto Sans CJK SC" w:eastAsia="Noto Sans CJK SC" w:cs="Noto Sans CJK SC"/>
          <w:b w:val="0"/>
          <w:color w:val="5C6B80"/>
          <w:sz w:val="21"/>
        </w:rPr>
        <w:t>每题只有一个正确选项。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1. 公司主链路的核心客户是谁？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所有有负债的人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具备债务压力且名下存在可核验、可交付、可运营不动产的人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只要有信用卡逾期的人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所有已经进入拍卖的人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2. MKT流量数据部门的核心职责是？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直接签约客户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从短视频、自媒体和广告投放中获取并沉淀客资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出具法律意见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负责房源出租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3. NPL销售的全称和主责是？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普通客户经理，负责全部服务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不良资产销售代表，负责客户转化、资料收集和有效腾房推进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律师助理，负责文书制作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资产出租专家，负责租客签约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4. PM项目小组的标准结构是？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销售+财务+行政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PM+客户维护专家+执业律师+律师助理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MKT+NPL+ALA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客户+债权人+租客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5. ALA资产出租专家的核心结果是？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客户签约数量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法律文书数量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真实出租、首期到账、空置控制和在租质量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广告投放数量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6. 服务费置换租赁权不属于以下哪一项？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真实服务对价安排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基于真实资产交付的运营回收方式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贷款业务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合同约定下的租赁经营权益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7. 有效腾房进入销售绩效的意义是？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让销售只追求签约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避免空合同进入工资条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让PM背全部风险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让ALA负责客户转化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8. “签约”在销售绩效中主要起什么作用？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立即发结果提成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锁定归属，但不等于结果提成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等同于首期到账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等同于有效腾房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9. 六问中最先影响ALA承接的是哪一项？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客户星座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城市与房屋位置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客户是否喜欢聊天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客户过去职业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10. 十一维事实地图的目标是？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让客户感觉问题复杂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把客户事实整理成PM可会审的信息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替律师下结论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替ALA签租客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11. 客户提出“能不能帮我补签长期租约挡拍卖”，销售应如何处理？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顺着客户讨论租期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建议租金写低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立即纠偏并提交PM/律师风险判断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让客户先交钱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12. J7客户的核心材料是什么？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客户口述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拍卖公告原文或完整链接/截图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朋友建议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销售个人判断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13. PM绩效不直接考核哪一项？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客户案件在管/续管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关键节点服务动作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风险预警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ALA出租速度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14. ALA绩效中“20天荣誉档”指什么？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20天内完成客户签约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出租天数≤20天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20天内完成律师会审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20天内投放广告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15. 首期到账为什么重要？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因为到账才是财务结果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因为客户口头承诺就够了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因为签约当天一定到账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因为MKT可以算提成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16. 客户法律普及度不足会导致什么问题？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客户一定不能服务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客户容易混淆催收、调解、诉讼、执行、拍卖等节点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客户一定没有房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客户一定不愿配合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17. 真实租赁权应由哪些要素共同证明？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口头承诺即可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合同、付款、占有、期限、租金合理性和留痕材料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销售承诺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客户微信一句话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18. “房子空置”是否等于“可租”？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是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不是，还要看权利、交付、欠费、钥匙、授权和风险披露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只要客户同意就是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只要销售确认就是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19. 客户提出“你们是不是和法院有关系”，正确方向是？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承认有关系增强信任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模糊带过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明确没有内部关系，所有处理基于真实材料和合法流程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让客户先付款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20. 以下哪项不是销售首呼身份边界？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说明业务顾问身份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不冒充律师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不冒充法院或银行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暗示自己能决定法院动作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21. PM服务系数低于60分或红线时如何处理？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照常满提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0.0x不发放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由销售补发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转给ALA发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22. ALA房源真实性主要要求什么？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照片越好看越好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信息、图片、状态、可租时间真实一致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价格随便写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先发布再核验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23. 低租项目为什么需要特殊审批？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因为客户不重要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因为低租可能打穿回收模型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因为销售不想做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因为ALA不需要出租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24. 月度结算T+2主要做什么？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封账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跑模拟单并核对边界和归责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直接发薪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删除争议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25. 回拨原则适用于哪类情况？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客户说话多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伪造、虚报、越权承诺、虚假房源等红线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MKT线索少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租客正常续租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243857"/>
          <w:sz w:val="36"/>
        </w:rPr>
        <w:t>二、多选题（10题，每题2分）</w:t>
      </w:r>
    </w:p>
    <w:p>
      <w:pPr>
        <w:spacing w:before="0" w:after="80" w:line="283" w:lineRule="auto"/>
      </w:pPr>
      <w:r>
        <w:rPr>
          <w:rFonts w:ascii="Noto Sans CJK SC" w:hAnsi="Noto Sans CJK SC" w:eastAsia="Noto Sans CJK SC" w:cs="Noto Sans CJK SC"/>
          <w:b w:val="0"/>
          <w:color w:val="5C6B80"/>
          <w:sz w:val="21"/>
        </w:rPr>
        <w:t>每题至少两个正确选项，多选、少选、错选均不得分。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1. MKT线索应尽量记录哪些内容？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来源平台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客户关键词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城市和房产线索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客户喜欢的颜色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2. NPL首呼六问包括哪些方向？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城市与房屋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权属与抵押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总负债结构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客户是否喜欢销售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3. 以下哪些属于服务费置换租赁权的“四个真实”？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真实需求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真实资产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真实服务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真实闭环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4. 以下哪些属于禁语或危险表达？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不用还了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我们和法院有关系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可以补做租约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先核实公告和材料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5. PM项目小组中哪些角色可能存在？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项目经理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客户维护专家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执业律师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律师助理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6. PM评分维度包括哪些？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案件在管/续管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关键节点服务动作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风险预警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客诉/工单闭环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7. ALA评分维度包括哪些？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出租速度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租金达成率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首60天在租质量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房源真实性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8. 有效腾房六维包括哪些？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物理维度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合同维度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风险维度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财务维度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9. 客户画像应关注哪些因素？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不动产权属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债务压力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交付可能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城市承接能力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10. 以下哪些情况可能触发N00熔断？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A. 倒签租赁合同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B. 虚构租客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C. 借名回拍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D. 材料真实但缺少一张水电单且愿意补齐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243857"/>
          <w:sz w:val="36"/>
        </w:rPr>
        <w:t>三、判断题（15题，每题1分）</w:t>
      </w:r>
    </w:p>
    <w:p>
      <w:pPr>
        <w:spacing w:before="0" w:after="80" w:line="283" w:lineRule="auto"/>
      </w:pPr>
      <w:r>
        <w:rPr>
          <w:rFonts w:ascii="Noto Sans CJK SC" w:hAnsi="Noto Sans CJK SC" w:eastAsia="Noto Sans CJK SC" w:cs="Noto Sans CJK SC"/>
          <w:b w:val="0"/>
          <w:color w:val="5C6B80"/>
          <w:sz w:val="21"/>
        </w:rPr>
        <w:t>判断业务表述是否正确，并在题后标注“对”或“错”。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1. 公司业务可以承诺客户房屋一定不被拍卖。（    ）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2. MKT的职责是稳定客资，NPL的职责是把客资转化为可判断、可交付项目。（    ）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3. 签约等于有效腾房。（    ）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4. PM不应背ALA出租速度和空置控制责任。（    ）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5. ALA可以在房源真实性不清时先挂牌试试看。（    ）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6. 真实租赁权需要合同、付款、占有、期限等多项证据支撑。（    ）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7. 客户提出倒签租约时，销售可以先答应，后续让律师处理。（    ）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8. 客户没有房产，也可能适合主链路服务费置换租赁权。（    ）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9. 财务抵销以实收租金为基础，而不是客户口述租金。（    ）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10. MKT线索字段越清晰，NPL首呼越容易进入事实判断。（    ）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11. 客户维护专家可以替执业律师出具法律结论。（    ）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12. PM服务时间越长且服务质量越稳，租赁权益和收益回收周期越有基础。（    ）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13. 20天荣誉档可以靠无底线降价完成。（    ）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14. 共有权人不同意时，销售仍可以先签客户本人。（    ）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15. 低租项目需要关注租金、空置、维修、物业欠费和回收周期。（    ）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243857"/>
          <w:sz w:val="36"/>
        </w:rPr>
        <w:t>四、填空题（10题，每题1分）</w:t>
      </w:r>
    </w:p>
    <w:p>
      <w:pPr>
        <w:spacing w:before="0" w:after="80" w:line="283" w:lineRule="auto"/>
      </w:pPr>
      <w:r>
        <w:rPr>
          <w:rFonts w:ascii="Noto Sans CJK SC" w:hAnsi="Noto Sans CJK SC" w:eastAsia="Noto Sans CJK SC" w:cs="Noto Sans CJK SC"/>
          <w:b w:val="0"/>
          <w:color w:val="5C6B80"/>
          <w:sz w:val="21"/>
        </w:rPr>
        <w:t>根据教材内容补全关键词。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1. 公司的四个业务部门依次为MKT流量数据、____、PM项目小组、ALA资产出租。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2. NPL销售的全称是____。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3. 服务费置换租赁权的四个真实是：真实需求、真实资产、真实服务、____。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4. 销售绩效的唯一结果口径是____。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5. PM绩效公式为：实收租金 × 2% × 服务天数系数 × ____。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6. ALA绩效公式为：实收租金 × 2% × 服务天数系数 × ____。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7. ALA出租天数从可租起算日到签约生效日和____中较晚日期，再加1天。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8. 客户提出虚构租约、倒签合同、借名回拍时，应进入____或强制会审。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9. J7阶段的核心材料是____。</w:t>
      </w:r>
    </w:p>
    <w:p>
      <w:pPr>
        <w:spacing w:before="0" w:after="40" w:line="283" w:lineRule="auto"/>
      </w:pPr>
      <w:r>
        <w:rPr>
          <w:rFonts w:ascii="Noto Sans CJK SC" w:hAnsi="Noto Sans CJK SC" w:eastAsia="Noto Sans CJK SC" w:cs="Noto Sans CJK SC"/>
          <w:b w:val="0"/>
          <w:sz w:val="21"/>
        </w:rPr>
        <w:t>10. 财务抵销必须以____为基础。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243857"/>
          <w:sz w:val="36"/>
        </w:rPr>
        <w:t>五、简答题（5题，每题4分）</w:t>
      </w:r>
    </w:p>
    <w:p>
      <w:pPr>
        <w:spacing w:before="0" w:after="80" w:line="283" w:lineRule="auto"/>
      </w:pPr>
      <w:r>
        <w:rPr>
          <w:rFonts w:ascii="Noto Sans CJK SC" w:hAnsi="Noto Sans CJK SC" w:eastAsia="Noto Sans CJK SC" w:cs="Noto Sans CJK SC"/>
          <w:b w:val="0"/>
          <w:color w:val="5C6B80"/>
          <w:sz w:val="21"/>
        </w:rPr>
        <w:t>要求回答清楚原因、边界和动作。每题建议不少于80字。</w:t>
      </w:r>
    </w:p>
    <w:p>
      <w:pPr>
        <w:spacing w:before="8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1. 为什么公司业务核心客户不是所有负债人，而是具备资产抵押情况的负债人群？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8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2. 请解释“签约不等于有效腾房”。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8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3. PM项目小组中的客户维护专家为什么重要？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8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4. 为什么ALA不能在房源真实性不清时提前挂牌？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8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5. 什么是“稳定客资—稳定转化—有效腾房—长周期服务—快速出租—收益回收”的增长飞轮？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243857"/>
          <w:sz w:val="36"/>
        </w:rPr>
        <w:t>六、情景题（2题，每题5分）</w:t>
      </w:r>
    </w:p>
    <w:p>
      <w:pPr>
        <w:spacing w:before="0" w:after="80" w:line="283" w:lineRule="auto"/>
      </w:pPr>
      <w:r>
        <w:rPr>
          <w:rFonts w:ascii="Noto Sans CJK SC" w:hAnsi="Noto Sans CJK SC" w:eastAsia="Noto Sans CJK SC" w:cs="Noto Sans CJK SC"/>
          <w:b w:val="0"/>
          <w:color w:val="5C6B80"/>
          <w:sz w:val="21"/>
        </w:rPr>
        <w:t>要求写出案件判断、部门协同、处理顺序和红线边界。</w:t>
      </w:r>
    </w:p>
    <w:p>
      <w:pPr>
        <w:spacing w:before="8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1. 客户称房屋已查封，但查封前已有真实租客并持续付款。请判断NPL、PM、律师、ALA分别做什么。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80" w:after="40" w:line="283" w:lineRule="auto"/>
      </w:pPr>
      <w:r>
        <w:rPr>
          <w:rFonts w:ascii="Noto Sans CJK SC" w:hAnsi="Noto Sans CJK SC" w:eastAsia="Noto Sans CJK SC" w:cs="Noto Sans CJK SC"/>
          <w:b/>
          <w:color w:val="243857"/>
          <w:sz w:val="21"/>
        </w:rPr>
        <w:t>2. 客户在J7拍卖公告后要求公司保证撤拍，并愿意马上付款。销售应如何处理？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spacing w:before="0" w:after="20" w:line="283" w:lineRule="auto"/>
      </w:pPr>
      <w:r>
        <w:rPr>
          <w:rFonts w:ascii="Noto Sans CJK SC" w:hAnsi="Noto Sans CJK SC" w:eastAsia="Noto Sans CJK SC" w:cs="Noto Sans CJK SC"/>
          <w:b w:val="0"/>
          <w:sz w:val="20"/>
        </w:rPr>
        <w:t>______________________________________________________________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243857"/>
          <w:sz w:val="36"/>
        </w:rPr>
        <w:t>阅卷记录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五、租赁权论证专题题（无答案版）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请结合主教材第四章作答。重点考察查封节点、真实租赁、备案留痕、租客风险、期限调整和服务费置换租赁权的边界。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61. 查封节点在租赁权论证中的核心意义是什么？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A. 查封后才最适合补租赁合同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B. 查封前真实形成的租赁更有论证基础，查封后新增或补做风险显著升高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C. 查封与租赁权无关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D. 只要客户同意即可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62. “备案”的正确理解是什么？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A. 备案可以把虚假租赁变成真实租赁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B. 未备案的合同一定无效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C. 备案是增强真实租赁外部留痕的一环，不能替代真实占有和付款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D. 备案只和ALA有关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63. 客户说“我现在补个十年低租合同”，销售应首先判断为什么危险？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A. 十年合同一定不能签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B. 异常长期、异常低租且临近执行，可能被识别为虚假或不合理权利负担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C. 低租一定能保护客户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D. 租期长可以提高销售提成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64. 租客得知房屋涉诉后可能产生的主要风险是什么？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A. 一定会提高租金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B. 要求退租、退押金、赔偿违约或拒付租金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C. 与业务无关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D. 只影响MKT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65. 公司承接客户租赁权风险的边界是什么？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A. 承接虚假合同风险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B. 承诺法院一定认可租赁权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C. 承接真实服务、真实合同、真实交付、真实运营中的项目管理和经营风险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D. 承诺永不腾退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66. 为什么客户空置房不一定能立即进入ALA挂牌？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A. 空置房没有价值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B. 还要核权利、授权、查封、欠费、钥匙、物业、风险披露和交付清单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C. ALA不负责出租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D. 必须等法院通知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67. 服务费置换租赁权中，客户真正交换的不是房屋所有权，而是什么？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A. 一定期限内合同约定的使用、收益、转租或运营权益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B. 房屋产权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C. 债权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D. 法院关系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68. 租赁权论证最核心的证据链不包括哪一项？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A. 合同签订时间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B. 租金支付记录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C. 实际占有与交付留痕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D. 客户说朋友也这么做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69. 1换7、2换13、3换18的期限逻辑主要取决于什么？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A. 销售个人喜好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B. 服务费、支持款、预计月租、空置期、维修成本和风险等级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C. 客户想签多久就多久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D. 租客年龄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70. 客户核心目的“保住资产”应如何表达才合规？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A. 公司保证房子不拍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B. 公司一定能撤拍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C. 公司帮助客户守住可处理窗口、争取周转生机，并以PM/律师会审和真实材料为准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D. 让客户不用还债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71. 简答：为什么说“查封前真实租赁是窗口管理，查封后补虚假租赁是红线风险”？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72. 简答：客户自行处理租赁权通常会浪费哪些窗口？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73. 情景题：客户房屋尚未查封但已逾期，房屋空置，可进门，有钥匙，客户担心未来被拍。NPL应如何推进？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74. 情景题：租客签约后得知房屋涉诉，要求退租并赔偿。ALA和PM如何协同？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75. 论述：服务费置换租赁权为什么能帮助客户“保留一线生机”，但不能被讲成“保房承诺”？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  <w:shd w:fill="243857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评分项</w:t>
            </w:r>
          </w:p>
        </w:tc>
        <w:tc>
          <w:tcPr>
            <w:tcW w:type="dxa" w:w="3427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  <w:shd w:fill="243857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得分</w:t>
            </w:r>
          </w:p>
        </w:tc>
        <w:tc>
          <w:tcPr>
            <w:tcW w:type="dxa" w:w="3427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  <w:shd w:fill="243857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评语</w:t>
            </w:r>
          </w:p>
        </w:tc>
      </w:tr>
      <w:tr>
        <w:tc>
          <w:tcPr>
            <w:tcW w:type="dxa" w:w="3427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</w:tcPr>
          <w:p>
            <w:r>
              <w:rPr>
                <w:rFonts w:ascii="Noto Sans CJK SC" w:hAnsi="Noto Sans CJK SC" w:eastAsia="Noto Sans CJK SC" w:cs="Noto Sans CJK SC"/>
              </w:rPr>
              <w:t>基础知识</w:t>
            </w:r>
          </w:p>
        </w:tc>
        <w:tc>
          <w:tcPr>
            <w:tcW w:type="dxa" w:w="3427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</w:tcPr>
          <w:p>
            <w:r>
              <w:rPr>
                <w:rFonts w:ascii="Noto Sans CJK SC" w:hAnsi="Noto Sans CJK SC" w:eastAsia="Noto Sans CJK SC" w:cs="Noto Sans CJK SC"/>
              </w:rPr>
            </w:r>
          </w:p>
        </w:tc>
        <w:tc>
          <w:tcPr>
            <w:tcW w:type="dxa" w:w="3427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</w:tcPr>
          <w:p>
            <w:r>
              <w:rPr>
                <w:rFonts w:ascii="Noto Sans CJK SC" w:hAnsi="Noto Sans CJK SC" w:eastAsia="Noto Sans CJK SC" w:cs="Noto Sans CJK SC"/>
              </w:rPr>
            </w:r>
          </w:p>
        </w:tc>
      </w:tr>
      <w:tr>
        <w:tc>
          <w:tcPr>
            <w:tcW w:type="dxa" w:w="3427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</w:tcPr>
          <w:p>
            <w:r>
              <w:rPr>
                <w:rFonts w:ascii="Noto Sans CJK SC" w:hAnsi="Noto Sans CJK SC" w:eastAsia="Noto Sans CJK SC" w:cs="Noto Sans CJK SC"/>
              </w:rPr>
              <w:t>流程判断</w:t>
            </w:r>
          </w:p>
        </w:tc>
        <w:tc>
          <w:tcPr>
            <w:tcW w:type="dxa" w:w="3427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</w:tcPr>
          <w:p>
            <w:r>
              <w:rPr>
                <w:rFonts w:ascii="Noto Sans CJK SC" w:hAnsi="Noto Sans CJK SC" w:eastAsia="Noto Sans CJK SC" w:cs="Noto Sans CJK SC"/>
              </w:rPr>
            </w:r>
          </w:p>
        </w:tc>
        <w:tc>
          <w:tcPr>
            <w:tcW w:type="dxa" w:w="3427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</w:tcPr>
          <w:p>
            <w:r>
              <w:rPr>
                <w:rFonts w:ascii="Noto Sans CJK SC" w:hAnsi="Noto Sans CJK SC" w:eastAsia="Noto Sans CJK SC" w:cs="Noto Sans CJK SC"/>
              </w:rPr>
            </w:r>
          </w:p>
        </w:tc>
      </w:tr>
      <w:tr>
        <w:tc>
          <w:tcPr>
            <w:tcW w:type="dxa" w:w="3427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</w:tcPr>
          <w:p>
            <w:r>
              <w:rPr>
                <w:rFonts w:ascii="Noto Sans CJK SC" w:hAnsi="Noto Sans CJK SC" w:eastAsia="Noto Sans CJK SC" w:cs="Noto Sans CJK SC"/>
              </w:rPr>
              <w:t>合规红线</w:t>
            </w:r>
          </w:p>
        </w:tc>
        <w:tc>
          <w:tcPr>
            <w:tcW w:type="dxa" w:w="3427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</w:tcPr>
          <w:p>
            <w:r>
              <w:rPr>
                <w:rFonts w:ascii="Noto Sans CJK SC" w:hAnsi="Noto Sans CJK SC" w:eastAsia="Noto Sans CJK SC" w:cs="Noto Sans CJK SC"/>
              </w:rPr>
            </w:r>
          </w:p>
        </w:tc>
        <w:tc>
          <w:tcPr>
            <w:tcW w:type="dxa" w:w="3427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</w:tcPr>
          <w:p>
            <w:r>
              <w:rPr>
                <w:rFonts w:ascii="Noto Sans CJK SC" w:hAnsi="Noto Sans CJK SC" w:eastAsia="Noto Sans CJK SC" w:cs="Noto Sans CJK SC"/>
              </w:rPr>
            </w:r>
          </w:p>
        </w:tc>
      </w:tr>
      <w:tr>
        <w:tc>
          <w:tcPr>
            <w:tcW w:type="dxa" w:w="3427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</w:tcPr>
          <w:p>
            <w:r>
              <w:rPr>
                <w:rFonts w:ascii="Noto Sans CJK SC" w:hAnsi="Noto Sans CJK SC" w:eastAsia="Noto Sans CJK SC" w:cs="Noto Sans CJK SC"/>
              </w:rPr>
              <w:t>表达与逻辑</w:t>
            </w:r>
          </w:p>
        </w:tc>
        <w:tc>
          <w:tcPr>
            <w:tcW w:type="dxa" w:w="3427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</w:tcPr>
          <w:p>
            <w:r>
              <w:rPr>
                <w:rFonts w:ascii="Noto Sans CJK SC" w:hAnsi="Noto Sans CJK SC" w:eastAsia="Noto Sans CJK SC" w:cs="Noto Sans CJK SC"/>
              </w:rPr>
            </w:r>
          </w:p>
        </w:tc>
        <w:tc>
          <w:tcPr>
            <w:tcW w:type="dxa" w:w="3427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vAlign w:val="top"/>
          </w:tcPr>
          <w:p>
            <w:r>
              <w:rPr>
                <w:rFonts w:ascii="Noto Sans CJK SC" w:hAnsi="Noto Sans CJK SC" w:eastAsia="Noto Sans CJK SC" w:cs="Noto Sans CJK SC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792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808A99"/>
        <w:sz w:val="16"/>
      </w:rPr>
      <w:t>DoublePlus销售训练体系｜学习 · 复习 · 练习 · 认证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</w:rPr>
      <w:drawing>
        <wp:inline xmlns:a="http://schemas.openxmlformats.org/drawingml/2006/main" xmlns:pic="http://schemas.openxmlformats.org/drawingml/2006/picture">
          <wp:extent cx="914400" cy="5143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图形字组合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5143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 w:cs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 w:cs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 w:cs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