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83080" cy="1002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图形字组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002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Noto Sans CJK SC" w:hAnsi="Noto Sans CJK SC" w:eastAsia="Noto Sans CJK SC"/>
          <w:b/>
          <w:color w:val="B00020"/>
          <w:sz w:val="52"/>
        </w:rPr>
        <w:t>DoublePlus 案例库独立教材</w:t>
      </w:r>
    </w:p>
    <w:p>
      <w:pPr>
        <w:jc w:val="center"/>
      </w:pPr>
      <w:r>
        <w:rPr>
          <w:rFonts w:ascii="Noto Sans CJK SC" w:hAnsi="Noto Sans CJK SC" w:eastAsia="Noto Sans CJK SC"/>
          <w:b/>
          <w:color w:val="111111"/>
          <w:sz w:val="28"/>
        </w:rPr>
        <w:t>全面扩充深化版｜客户故事、案件阶段、处理逻辑、岗位协同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55555"/>
          <w:sz w:val="20"/>
        </w:rPr>
        <w:t>版本日期：2026-04-26｜适用：MKT、NPL、PM、ALA、训练官、组长、HR、财务、质检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案例库｜按业务链路分类｜用于复习、带教、晨会拆解与飞书沉淀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学习闭环：教材学习 → 案例复盘 → 分类题库 → 岗位认证 → 飞书沉淀</w:t>
      </w:r>
    </w:p>
    <w:p>
      <w:r>
        <w:br w:type="page"/>
      </w:r>
    </w:p>
    <w:p>
      <w:pPr>
        <w:pStyle w:val="Heading1"/>
        <w:spacing w:before="200" w:after="160"/>
      </w:pPr>
      <w:r>
        <w:t>案例库学习方法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DEDEE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训练目标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案例库的作用不是让新人背故事，而是让新人学会把客户故事拆成事实、把事实放进J节点、把节点交给正确岗位、把动作沉淀到飞书台账。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qbank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训练重点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适用对象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一、客户画像与市场入口案例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二、MKT流量数据与线索质量案例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三、NPL销售转化与签约案例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四、租赁权论证与查封节点案例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五、PM长周期服务与律师协同案例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六、ALA出租、租客稳定与收益回收案例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七、绩效、飞书与红线复盘案例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客户事实、节点判断、处理过程、岗位协同、复盘追问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新人、岗位员工、训练官</w:t>
            </w:r>
          </w:p>
        </w:tc>
      </w:tr>
    </w:tbl>
    <w:p/>
    <w:p>
      <w:r>
        <w:br w:type="page"/>
      </w:r>
    </w:p>
    <w:p>
      <w:pPr>
        <w:pStyle w:val="Heading1"/>
        <w:spacing w:before="200" w:after="160"/>
      </w:pPr>
      <w:r>
        <w:t>一、客户画像与市场入口案例</w:t>
      </w:r>
    </w:p>
    <w:p>
      <w:pPr>
        <w:pStyle w:val="Heading2"/>
        <w:spacing w:before="160" w:after="100"/>
      </w:pPr>
      <w:r>
        <w:t>C01 纯信用债客户为什么不进入主链路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刘先生通过短视频表单进线，称自己信用卡和网贷合计欠款47万元，已经开始被催收，希望公司“帮他停一下”。NPL首访后发现，刘先生没有房产、车辆、商铺、厂房或任何可形成租赁收益的资产。客户情绪真实，但没有进入服务费置换租赁权主链路的资产基础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债务真实，但资产为空；客户愿意沟通，但只能做基础咨询或降级服务。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J0-J1，MKT线索进入后由NPL完成准入初筛。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NPL不应强行讲租赁权置换，而应教育客户整理债务、识别正式文书、寻求合规协商路径。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不能因为客户急就签。没有资产就没有可出租权益，没有租赁权就没有后端回收。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C02 有房但无风险客户为什么不急推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张女士名下有一套住宅，房贷正常、没有逾期、没有诉讼，也无短期资金周转压力。客户只是看到内容后想了解“以后如果出事怎么办”。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资产存在，但当下痛点不足，成交动力低。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J0观察池。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MKT留存客户信息，NPL以教育为主，记录为未来可培养客户。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业务不能只看有没有房，还要看风险是否出现、客户是否有服务需求。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C03 有抵押有逾期客户如何从MKT进入A类线索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王先生经营失败，房贷、经营贷、信用卡均出现压力，表单中写明“房子还没查封，但银行说要起诉”。MKT立即标记为A类线索，NPL当天首访。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有资产、有债务、有窗口、有意愿。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J0-J2。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MKT标记平台、客户原话、资产类型、是否查封；NPL继续深挖租赁权窗口。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高质量客资不是电话号码多，而是资产、债务、节点都能被识别。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C04 客户第一次说谎：为什么必须用材料校验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客户自称“没有查封”，但PM要求其提供不动产登记和法院材料后发现，房屋已有保全记录。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客户并非恶意，但对法律节点理解错误。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J2资产核验。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NPL不能只听口述，必须用材料校验。PM建立节点时间轴。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客户说法是线索，不是事实。业务进入下一步前必须证据化。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二、MKT流量数据与线索质量案例</w:t>
      </w:r>
    </w:p>
    <w:p>
      <w:pPr>
        <w:pStyle w:val="Heading2"/>
        <w:spacing w:before="160" w:after="100"/>
      </w:pPr>
      <w:r>
        <w:t>C05 直播间高流量低转化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一场直播获得大量咨询，但大部分客户只是想听免费债务课，没有房产，也不愿意提交材料。NPL反馈有效转化极低。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MKT流量大，但目标客户占比低。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MKT复盘阶段。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调整内容关键词，增加“是否有房产/抵押/查封前窗口”表单字段。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MKT的结果不是热闹，而是适配公司业务的有效线索。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C06 短视频关键词“查封前窗口”带来高质量客资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一条解释查封前租赁权窗口的视频带来线索少于常规视频，但客户多数有房、有贷、有诉前压力。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低流量，高匹配。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MKT内容优化阶段。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把内容从情绪刺激调整为资产教育。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精准内容能降低NPL纠偏成本。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C07 MKT内容过度承诺导致PM客诉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内容中使用“保住资产”绝对化表达，客户签约后期待公司保证法院不拍卖，PM接手后持续被追问结果。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内容口径失控，后端承压。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MKT质检。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下架过度承诺内容，统一合规表达。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前端一句话，后端十倍成本。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C08 线索字段缺失导致首访低效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MKT只交手机号，没有标注来源、资产、债务和痛点。NPL首访需要从零开始，客户不耐烦。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线索可用性差。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MKT-NPL交接阶段。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建立线索卡字段：平台、内容、客户原话、资产、债务、节点、接通优先级。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客资不是号码，而是可判断信息。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三、NPL销售转化与签约案例</w:t>
      </w:r>
    </w:p>
    <w:p>
      <w:pPr>
        <w:pStyle w:val="Heading2"/>
        <w:spacing w:before="160" w:after="100"/>
      </w:pPr>
      <w:r>
        <w:t>C09 六问十一维如何发现租赁权机会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客户说“只是信用卡逾期”，NPL继续问房产，发现客户名下公寓空置、尚未查封、租金稳定。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表面信用债，底层资产型客户。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J1-J3。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从债务问到资产，从资产问到租赁权，从租赁权问到交付。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优秀销售不是讲得多，而是问得准。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C10 客户急着签，销售为什么还要慢半拍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客户说愿意马上签，但房屋由父母居住，钥匙在父母手里。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意愿强，交付弱。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J3-J4。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先确认占有和交付，再签约。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签约容易，交付难；销售必须替后端负责。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C11 共同产权人不同意的签约风险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夫妻共有房产，一方愿意签，另一方明确不同意出租。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权利基础不完整。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J2-J4。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暂停主链路，补齐共同权利人授权。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客户能签不代表权利完整。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C12 现金不足客户如何讲服务费置换租赁权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客户无力支付完整服务费，但房源可出租，愿意交付租赁权益。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现金流弱，资产价值强。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J3方案报价。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解释置换不是免费，租赁收益用于承接服务成本。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客户用未来租赁收益买长周期服务。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C13 销售过度承诺引发PM接手困难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销售为成交说“法院肯定认可租赁权”，PM接手后客户每天要求书面保证。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前端承诺不合规。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J4-J6。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组长复盘销售话术，PM重新设定边界。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不能把可能性说成确定性。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C14 45天超龄锁单拖慢团队达成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销售锁单后不移交PM，客户材料没有补齐，最终错过查封前窗口。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流程断点导致业务失败。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销售资格门复盘。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严格24小时移交和超龄锁单预警。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拖在销售手里，不等于客户被服务。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四、租赁权论证与查封节点案例</w:t>
      </w:r>
    </w:p>
    <w:p>
      <w:pPr>
        <w:pStyle w:val="Heading2"/>
        <w:spacing w:before="160" w:after="100"/>
      </w:pPr>
      <w:r>
        <w:t>C15 查封前空置房如何形成真实租赁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客户房屋空置，未查封，诉前通知已到。公司在查封前完成合同、交付、备案路径和出租。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窗口明确，资产可租。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J2-J7。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抓住查封前形成真实租赁。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第四章核心：窗口不抓，权利会被浪费。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C16 查封后补合同为什么被熔断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客户要求把合同日期写到一年前，但无租客、无流水、无交付。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红线明显。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J2风险拦截。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拒绝倒签，转合规服务。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虚假的租赁权比没有租赁权更危险。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C17 住建备案强化证据链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真实租客已入住，但客户认为备案麻烦。PM推动备案并保存回执。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合同真实但外部留痕不足。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J5证据强化。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备案、流水、交付同步整理。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备案不是万能，但能固定时间与主体。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C18 租客知悉涉诉后要求退租索赔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租客入住后发现房屋涉诉，认为公司和客户隐瞒重大风险。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披露不足，租客不稳。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J7履约风险。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PM建立工单，ALA协商续租/退租，律师判断责任。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租赁权要持续履行，不能只看签约。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C19 长租期限过长被质疑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客户要求20年长租，租金明显低于市场，租客是亲属。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真实性和商业合理性弱。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J3-J5会审。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调整租期和租金，增加合理说明。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长租不是模板，合理性才是保护。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C20 租金现金支付没有流水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客户与租客长期现金交易，无法证明租金支付。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支付证据不足。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J5证据补强。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引导后续银行流水支付，补充收据和沟通记录。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真实交易也要证据化。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C21 房屋已出租但未交付公司管理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客户原有租客真实存在，但公司无法控制收租、沟通和风险告知。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租赁真实但经营权不完整。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J5-J7交接。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签署托管或运营授权，统一收款和租客服务。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真实租赁不等于公司可经营。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C22 拍卖公告披露带租但租赁事实不完整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公告写明有租赁，但租期、租金和占有信息不完整。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权利负担披露不充分。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J7律师会审。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补齐合同、租金、占有、备案和租客信息。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公告只是入口，证据还要完整。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五、PM长周期服务与律师协同案例</w:t>
      </w:r>
    </w:p>
    <w:p>
      <w:pPr>
        <w:pStyle w:val="Heading2"/>
        <w:spacing w:before="160" w:after="100"/>
      </w:pPr>
      <w:r>
        <w:t>C23 客户情绪崩溃，维护专家如何接住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客户收到执行通知后认为房子马上没了，要求退款。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情绪失控，认知不足。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J6 PM在管。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维护专家承接情绪，律师解释节点，PM列清单。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客户稳定才会继续配合。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C24 律师专业问题被销售误答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客户问查封后合同是否有效，销售直接回答“没问题”。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越权解答。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质检复盘。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统一转律师话术。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专业问题必须专业处理。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C25 PM台账缺失导致服务价值无法证明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客户投诉没人管，实际有电话沟通但无飞书记录。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服务有做，证据缺失。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PM工单复盘。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补齐台账，固定周报。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没有留痕，就没有可证明服务。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C26 客户资金周转打开，长周期服务保留一线生机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客户服务五个月后经营回款恢复，开始主动协商债务。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长周期服务价值兑现。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J6-J9。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PM持续维护，ALA保持出租稳定。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客户真正买的是未来的生机。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C27 家属反对导致交付暂停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客户本人签约，配偶和老人强烈反对房屋交付。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家庭占有风险。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J4-J6。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PM组织沟通，律师解释权利边界。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交付不是销售一句话能解决。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六、ALA出租、租客稳定与收益回收案例</w:t>
      </w:r>
    </w:p>
    <w:p>
      <w:pPr>
        <w:pStyle w:val="Heading2"/>
        <w:spacing w:before="160" w:after="100"/>
      </w:pPr>
      <w:r>
        <w:t>C28 ALA第12天出租，为什么不是低价甩租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房源状态好，客户想高价，ALA用市场数据定价，第12天出租。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速度与租金平衡。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J7-J8。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合理定价、真实展示、首期到账。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快租要建立在真实和稳定上。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C29 20天荣誉档失败但长期收益更高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房源第25天出租，略超荣誉档，但租金达成率高、租客稳定。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速度略慢，质量高。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ALA复盘。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解释质量与长期回收。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不能只看天数。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C30 虚假房源图片导致首60天退租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ALA使用美化图，租客入住后发现差距要求退租。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房源真实性风险。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J7质量事故。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下架、退款协商、复盘扣分。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虚假信息会破坏回收。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C31 欠费超过7天，ALA如何处理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租客第二个月逾期未付，ALA未及时催缴。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欠费风险。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在租管理。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催缴、预警、PM同步、财务记录。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出租后还要收得回来。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C32 ALA与PM边界争议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出租慢了，PM被要求扣分。复盘发现PM已按时交接，问题出在定价和挂牌。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边界争议。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绩效复盘。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按岗位主责归责。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PM不背出租速度，ALA不背客户续管。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r>
        <w:br w:type="page"/>
      </w:r>
    </w:p>
    <w:p>
      <w:pPr>
        <w:pStyle w:val="Heading1"/>
        <w:spacing w:before="200" w:after="160"/>
      </w:pPr>
      <w:r>
        <w:t>七、绩效、飞书与红线复盘案例</w:t>
      </w:r>
    </w:p>
    <w:p>
      <w:pPr>
        <w:pStyle w:val="Heading2"/>
        <w:spacing w:before="160" w:after="100"/>
      </w:pPr>
      <w:r>
        <w:t>C33 签了三单但只有一单有效腾房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销售当月签约多，但资料不齐、家属不配合，只有一套达成有效腾房。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空合同多。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绩效复盘。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按有效腾房计提。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绩效买结果，不买热闹。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C34 团队激励资格门未过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销售有业绩但11维完成率不足，24小时移交率低。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资格门不过。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月度结算。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不参与团队激励，整改过程动作。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流程完整影响收入。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C35 虚构闭环被PM红线拦截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PM为了避免客诉关闭工单，实际未联系客户。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台账红线。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PM质检。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当月归零并回拨。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服务记录必须真实。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p>
      <w:pPr>
        <w:pStyle w:val="Heading2"/>
        <w:spacing w:before="160" w:after="100"/>
      </w:pPr>
      <w:r>
        <w:t>C36 飞书字段不统一导致结算争议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"/>
        <w:gridCol w:w="9648"/>
      </w:tblGrid>
      <w:tr>
        <w:tc>
          <w:tcPr>
            <w:tcW w:type="dxa" w:w="5227"/>
            <w:shd w:fill="B00020"/>
          </w:tcPr>
          <w:p/>
        </w:tc>
        <w:tc>
          <w:tcPr>
            <w:tcW w:type="dxa" w:w="5227"/>
            <w:shd w:fill="FAFAFA"/>
          </w:tcPr>
          <w:p>
            <w:r>
              <w:rPr>
                <w:rFonts w:ascii="Noto Sans CJK SC" w:hAnsi="Noto Sans CJK SC" w:eastAsia="Noto Sans CJK SC"/>
                <w:b/>
                <w:color w:val="B00020"/>
                <w:sz w:val="21"/>
              </w:rPr>
              <w:t>故事导入</w:t>
            </w:r>
          </w:p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NPL写“已腾房”，ALA写“不可租”，财务无法确认。</w:t>
            </w:r>
          </w:p>
        </w:tc>
      </w:tr>
    </w:tbl>
    <w:p/>
    <w:p>
      <w:pPr>
        <w:pStyle w:val="Heading3"/>
        <w:spacing w:before="100" w:after="60"/>
      </w:pPr>
      <w:r>
        <w:t>案件情况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字段失真。</w:t>
      </w:r>
    </w:p>
    <w:p>
      <w:pPr>
        <w:pStyle w:val="Heading3"/>
        <w:spacing w:before="100" w:after="60"/>
      </w:pPr>
      <w:r>
        <w:t>案件阶段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飞书治理。</w:t>
      </w:r>
    </w:p>
    <w:p>
      <w:pPr>
        <w:pStyle w:val="Heading3"/>
        <w:spacing w:before="100" w:after="60"/>
      </w:pPr>
      <w:r>
        <w:t>处理方法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统一字段口径：签约、交付、可租、出租、到账。</w:t>
      </w:r>
    </w:p>
    <w:p>
      <w:pPr>
        <w:pStyle w:val="Heading3"/>
        <w:spacing w:before="100" w:after="60"/>
      </w:pPr>
      <w:r>
        <w:t>处理过程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第一步：依据客户事实确认当前J节点和主责岗位。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第二步：把客户口述转成材料清单、证据包和飞书字段。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第三步：由对应岗位推进动作，并在节点变化时做复盘。</w:t>
      </w:r>
    </w:p>
    <w:p>
      <w:pPr>
        <w:pStyle w:val="Heading3"/>
        <w:spacing w:before="100" w:after="60"/>
      </w:pPr>
      <w:r>
        <w:t>处理逻辑</w:t>
      </w:r>
    </w:p>
    <w:p>
      <w:pPr>
        <w:spacing w:line="288" w:lineRule="auto" w:after="100"/>
        <w:ind w:firstLine="420"/>
      </w:pPr>
      <w:r>
        <w:rPr>
          <w:rFonts w:ascii="Noto Sans CJK SC" w:hAnsi="Noto Sans CJK SC" w:eastAsia="Noto Sans CJK SC"/>
          <w:b w:val="0"/>
          <w:color w:val="111111"/>
          <w:sz w:val="21"/>
        </w:rPr>
        <w:t>知识库和台账要同语言。</w:t>
      </w:r>
    </w:p>
    <w:p>
      <w:pPr>
        <w:pStyle w:val="Heading3"/>
        <w:spacing w:before="100" w:after="60"/>
      </w:pPr>
      <w:r>
        <w:t>部门协同与飞书沉淀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485"/>
            <w:shd w:fill="B0002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飞书沉淀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回标线索来源、内容触发点和客户初始标签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线索来源、资产标签、债务标签、风险标签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NPL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完成六问十一维、讲清服务费置换租赁权、判断准入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客户画像、签约状态、有效腾房条件</w:t>
            </w:r>
          </w:p>
        </w:tc>
      </w:tr>
      <w:tr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PM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建档、维护客户、律师协同、风险预警、工单闭环</w:t>
            </w:r>
          </w:p>
        </w:tc>
        <w:tc>
          <w:tcPr>
            <w:tcW w:type="dxa" w:w="3485"/>
            <w:vAlign w:val="top"/>
            <w:shd w:fill="FAFA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案件时间轴、服务动作、风险预警、客诉状态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ALA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验房、定价、挂牌、出租、首期到账、在租质量</w:t>
            </w:r>
          </w:p>
        </w:tc>
        <w:tc>
          <w:tcPr>
            <w:tcW w:type="dxa" w:w="34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可租起算日、出租天数、实收租金、首60天质量</w:t>
            </w:r>
          </w:p>
        </w:tc>
      </w:tr>
    </w:tbl>
    <w:p/>
    <w:p>
      <w:pPr>
        <w:pStyle w:val="Heading3"/>
        <w:spacing w:before="100" w:after="60"/>
      </w:pPr>
      <w:r>
        <w:t>训练官追问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客户最初表达的痛点是什么？真正业务入口是什么？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本案处于J几？下一步应由哪个岗位主责？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本案涉及哪些租赁权、查封、交付或绩效风险？</w:t>
      </w:r>
    </w:p>
    <w:p>
      <w:pPr>
        <w:spacing w:after="60" w:line="276" w:lineRule="auto"/>
        <w:ind w:left="360" w:hanging="280"/>
      </w:pPr>
      <w:r>
        <w:rPr>
          <w:rFonts w:ascii="Noto Sans CJK SC" w:hAnsi="Noto Sans CJK SC" w:eastAsia="Noto Sans CJK SC"/>
          <w:b/>
          <w:color w:val="B0002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0"/>
        </w:rPr>
        <w:t>如果你是NPL/PM/ALA，你会如何推进？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案例库｜内部培训资料｜飞书知识库上传版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60120" cy="5400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图形字组合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54006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Noto Sans CJK SC" w:hAnsi="Noto Sans CJK SC" w:eastAsia="Noto Sans CJK SC"/>
        <w:color w:val="666666"/>
        <w:sz w:val="16"/>
      </w:rPr>
      <w:t xml:space="preserve">  DoublePlus｜案例库与题库深化版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00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