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before="0" w:after="0" w:line="240" w:lineRule="auto"/>
        <w:ind w:left="0" w:right="0" w:firstLine="720" w:firstLineChars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Учреждение образования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«БЕЛОРУССКИЙ ГОСУДАРСТВЕННЫЙ УНИВЕРСИТЕТ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ИНФОРМАТИКИ И РАДИОЭЛЕКТРОНИКИ»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br w:type="textWrapping"/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 xml:space="preserve">Отчет по лабораторной работе </w:t>
      </w:r>
      <w:r>
        <w:rPr>
          <w:rFonts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</w:rPr>
        <w:t>№</w:t>
      </w: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  <w:t>4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en-US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  <w:t>+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  <w:t>+</w:t>
      </w: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hint="default" w:ascii="Segoe UI Symbol" w:hAnsi="Segoe UI Symbol" w:eastAsia="Segoe UI Symbol" w:cs="Segoe UI Symbol"/>
          <w:b/>
          <w:color w:val="000000"/>
          <w:spacing w:val="0"/>
          <w:position w:val="0"/>
          <w:sz w:val="28"/>
          <w:shd w:val="clear" w:fill="auto"/>
          <w:lang w:val="ru-RU"/>
        </w:rPr>
      </w:pPr>
      <w:bookmarkStart w:id="0" w:name="_GoBack"/>
      <w:bookmarkEnd w:id="0"/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по курсу «ОТИС»</w:t>
      </w:r>
    </w:p>
    <w:p>
      <w:pPr>
        <w:suppressAutoHyphens/>
        <w:spacing w:before="0" w:after="24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на тему: «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Оптимальные и удовлетворительные решения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Выполнил студент группы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321702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en-US"/>
        </w:rPr>
        <w:t xml:space="preserve">                               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Кислицын И.А.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Проверил: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ab/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                   Соколович М.Г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suppressAutoHyphens/>
        <w:spacing w:before="0" w:after="0" w:line="240" w:lineRule="auto"/>
        <w:ind w:left="2880" w:leftChars="0" w:right="0" w:firstLine="720" w:firstLine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  <w:t>МИНСК 2023</w:t>
      </w:r>
    </w:p>
    <w:p>
      <w:pPr>
        <w:jc w:val="center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Система 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Пылесос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»</w:t>
      </w:r>
    </w:p>
    <w:p>
      <w:pPr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Для рассмотрения и построения когнитивной карты были взяты следующие критерии системы «Холодильник»:</w:t>
      </w:r>
    </w:p>
    <w:p>
      <w:pPr>
        <w:widowControl w:val="0"/>
        <w:suppressAutoHyphens/>
        <w:spacing w:before="0" w:after="0" w:line="240" w:lineRule="auto"/>
        <w:ind w:left="-426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</w:pP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 xml:space="preserve">Мощность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Потребляемая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Вес;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</w:rPr>
        <w:t>Объём;</w:t>
      </w:r>
    </w:p>
    <w:p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before="0" w:after="0" w:line="240" w:lineRule="auto"/>
        <w:ind w:left="218" w:right="0" w:firstLine="426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связи с этим появились следующие связи</w:t>
      </w:r>
    </w:p>
    <w:p>
      <w:pPr>
        <w:widowControl w:val="0"/>
        <w:suppressAutoHyphens/>
        <w:spacing w:before="0" w:after="0" w:line="240" w:lineRule="auto"/>
        <w:ind w:left="-142" w:right="0" w:firstLine="426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>отребляемая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7"/>
          <w:shd w:val="clear" w:fill="auto"/>
          <w:lang w:val="ru-RU"/>
        </w:rPr>
        <w:t xml:space="preserve">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Мощность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 и 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before="0" w:after="0" w:line="240" w:lineRule="auto"/>
        <w:ind w:left="644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Вес и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;</w:t>
      </w: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0"/>
        </w:numPr>
        <w:tabs>
          <w:tab w:val="left" w:pos="0"/>
        </w:tabs>
        <w:suppressAutoHyphens/>
        <w:spacing w:before="0" w:after="0" w:line="240" w:lineRule="auto"/>
        <w:ind w:left="284" w:leftChars="0" w:right="0" w:rightChars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Разберём каждую связь подробнее и поясним, почему было выбрано то или иное отношение:</w:t>
      </w:r>
    </w:p>
    <w:p>
      <w:pPr>
        <w:widowControl w:val="0"/>
        <w:suppressAutoHyphens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потребляемая мощность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, тем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ая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мощность энергопотребления требуется для неё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 xml:space="preserve">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>всасывания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  <w:lang w:val="ru-RU"/>
        </w:rPr>
        <w:t xml:space="preserve"> и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+0.4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будет поступать в пылесборник и тем значительнее будет 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Объем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мощность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всасывания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-0.2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В данной связи у нас получается отрицательный коэффициент. Это вызвано простым явлением: чем больш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пылесборника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дольше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создаётся вакуум в пылесборнике и тем самым мощность всасывания может уменьшиться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.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Для устранения данной проблемы, необходимо уменьшить объем пылесборника или сделать создание вакуума независимо от объёма пылесборника.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+1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положительный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глубина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больший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мусора сможет поступать в пылесборник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 и объем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u w:val="single"/>
          <w:shd w:val="clear" w:fill="auto"/>
        </w:rPr>
        <w:t>.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Коэффициент – (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-0.7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>);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данной связи у нас получается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отрицательный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коэффициент. Это вызвано простым явлением: чем больше в нашей системе 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вес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тем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меньший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объем  мусора способен расположиться в пылесборнике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>Для</w:t>
      </w:r>
      <w:r>
        <w:rPr>
          <w:rFonts w:hint="default"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  <w:lang w:val="ru-RU"/>
        </w:rPr>
        <w:t xml:space="preserve"> устранения данной проблемы необходимо использовать менее тяжёлые и менее габаритные элементы подсистемы двигателя и использовать более ёмкий пылесборник</w:t>
      </w:r>
    </w:p>
    <w:p>
      <w:pPr>
        <w:widowControl w:val="0"/>
        <w:suppressAutoHyphens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>
      <w:pPr>
        <w:widowControl w:val="0"/>
        <w:suppressAutoHyphens/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5267960" cy="3429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Cambria Math"/>
          <w:i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8264A"/>
    <w:rsid w:val="0C855254"/>
    <w:rsid w:val="0FD30983"/>
    <w:rsid w:val="12236E3B"/>
    <w:rsid w:val="123531A8"/>
    <w:rsid w:val="21EB02AB"/>
    <w:rsid w:val="228A6534"/>
    <w:rsid w:val="29626771"/>
    <w:rsid w:val="2BA935E2"/>
    <w:rsid w:val="32EE77E9"/>
    <w:rsid w:val="36B01808"/>
    <w:rsid w:val="4258264A"/>
    <w:rsid w:val="57525D80"/>
    <w:rsid w:val="5DE34492"/>
    <w:rsid w:val="5FDE141F"/>
    <w:rsid w:val="638E412F"/>
    <w:rsid w:val="68FD5F3D"/>
    <w:rsid w:val="71B66AEF"/>
    <w:rsid w:val="77561F58"/>
    <w:rsid w:val="7CA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2024-09-28T11:16:00Z</dcterms:created>
  <dc:creator>devert</dc:creator>
  <cp:lastModifiedBy>devert</cp:lastModifiedBy>
  <dcterms:modified xsi:type="dcterms:W3CDTF">2024-10-05T07:27:56Z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2C1755522F014419A1DEFAB1DD8EDC96</vt:lpwstr>
  </property>
</Properties>
</file>