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rPr>
          <w:rFonts w:ascii="Times New Roman" w:hAnsi="Times New Roman" w:cs="Times New Roman" w:eastAsia="Times New Roman"/>
        </w:rPr>
        <w:t xml:space="preserve">CogniHire: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Auditing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Instead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Scoring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Candidates</w:t>
      </w:r>
    </w:p>
    <w:p>
      <w:pPr>
        <w:pStyle w:val="Author"/>
        <w:jc w:val="center"/>
      </w:pPr>
      <w:r>
        <w:rPr>
          <w:rFonts w:ascii="Times New Roman" w:hAnsi="Times New Roman" w:cs="Times New Roman" w:eastAsia="Times New Roman"/>
        </w:rPr>
        <w:t xml:space="preserve">Devesh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V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Department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Computing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Technologies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SRM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Institute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Science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Technology,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Kattankalathur,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Chennai,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India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deveshsv.386@gmail.com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Shrikrishna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Chippalkatti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Scientist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Centre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Development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Advanced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Computing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(C-DAC),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Bengaluru,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India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krishnac@cdac.in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Dr.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Aswathy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K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Cherian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Associate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Professor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Department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Computing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Technologies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SRM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Institute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Science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Technology,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Kattankalathur,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Chennai,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India</w:t>
      </w:r>
      <w:r>
        <w:rPr>
          <w:rFonts w:ascii="Times New Roman" w:hAnsi="Times New Roman" w:cs="Times New Roman" w:eastAsia="Times New Roman"/>
        </w:rPr>
        <w:br/>
      </w:r>
      <w:r>
        <w:rPr>
          <w:rFonts w:ascii="Times New Roman" w:hAnsi="Times New Roman" w:cs="Times New Roman" w:eastAsia="Times New Roman"/>
        </w:rPr>
        <w:t xml:space="preserve">aswathyc1@srmist.edu.in</w:t>
      </w:r>
    </w:p>
    <w:p>
      <w:pPr>
        <w:pStyle w:val="AbstractTitle"/>
      </w:pPr>
      <w:r>
        <w:rPr>
          <w:rFonts w:ascii="Times New Roman" w:hAnsi="Times New Roman" w:cs="Times New Roman" w:eastAsia="Times New Roman"/>
        </w:rPr>
        <w:t xml:space="preserve">Abstract</w:t>
      </w:r>
    </w:p>
    <w:p>
      <w:pPr>
        <w:pStyle w:val="Abstract"/>
        <w:jc w:val="both"/>
      </w:pPr>
      <w:r>
        <w:rPr>
          <w:rFonts w:ascii="Times New Roman" w:hAnsi="Times New Roman" w:cs="Times New Roman" w:eastAsia="Times New Roman"/>
        </w:rPr>
        <w:t xml:space="preserve">Automated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hiring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systems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typically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emit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score: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scalar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that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ranks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candidate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against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others.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Such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scores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resist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explanation,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give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candidate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nothing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specific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contest,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carry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growing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regulatory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exposure.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present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CogniHire,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technical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screening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system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designed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audit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candidate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makes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rather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than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score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candidate.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deterministic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grounding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constrains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language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model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select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text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from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forbids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author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any.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Across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roughly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100,000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synthetic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trials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rejected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every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meaning-preserving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paraphrase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negation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trap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while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admitting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every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verbatim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under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worst-case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prompt-injection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model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admitted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none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1,800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fabricated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claims.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machine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learning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compare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nine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classifiers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under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grouped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cross-validation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significance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testing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introduce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within-query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diagnostic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that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separates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matching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ability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from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candidate-level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quality.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deep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learning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show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that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plausible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authored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face-similarity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threshold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0.50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would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have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falsely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rejected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41.4%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genuine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identity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matches,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against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3.4%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threshold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calibrated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Labeled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Faces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Wild.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  <w:bCs/>
          <w:b/>
        </w:rPr>
        <w:t xml:space="preserve">Index Terms</w:t>
      </w:r>
      <w:r>
        <w:rPr>
          <w:rFonts w:ascii="Times New Roman" w:hAnsi="Times New Roman" w:cs="Times New Roman" w:eastAsia="Times New Roman"/>
        </w:rPr>
        <w:t xml:space="preserve">—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automated hiring, evidence grounding, claim verification, algorithmic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accountability, prompt injection, model comparison, face verification,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threshold calibration</w:t>
      </w:r>
    </w:p>
    <w:bookmarkStart w:id="20" w:name="introduction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I. INTRODUCTION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Interview assessments are commonly summarized as a single score, which records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neither which answer produced it nor how it could be contested. Automated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screening platforms inherit this limitation [1], [2].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We propose that the useful output of automated screening is an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audit of the claims a candidate has made, not a judgment of the candidate. Each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 claim is probed, each probe yields evidence, and the verdicts, with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evidence attached, go to a human who decides about the person. Grounding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governs what may be asserted, machine learning (ML) measures properties 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evidence, and deep learning (DL) supplies perception.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Auditing rather than scoring is a design stance, not the technical novelty.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 novel mechanisms are: (1) an assertion-scoped grounding gate that admits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 only as a verbatim, single-clause span of the resume with no negation 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hedge, returns its character offsets, is enforced by an import boundary that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fails the build, and is evaluated against paraphrase and prompt-injection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attacks (Section IV); (2) a value-free result type, so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failed measurement cannot be read as a low score (Section VI);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(3) a within-query ranking diagnostic that separates matching ability from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entity-level quality (Section V-C). The remaining contributions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are empirical: a nine-model comparison with a synthetic positive control, and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calibration showing that an authored threshold was wrong by a quantified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amount.</w:t>
      </w:r>
    </w:p>
    <w:bookmarkEnd w:id="20"/>
    <w:bookmarkStart w:id="21" w:name="related-work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II. RELATED WORK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Audits of hiring algorithms find predictive tools reproducing historical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patterns [1], and fairness analysis is run against a vendor’s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stated prediction target rather than the deployed one [2];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Section V-C supplies a measurement that detects such a mismatch.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Explanations should let the affected person contest a decision [3],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 property a per-claim audit is built to provide. Language models produce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fluent text unsupported by their input [4], and instructions hidden 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retrieved content can redirect them [5]; we constrain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first by construction and measure the second. Table I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positions the grounding gate against neighboring techniques: none combines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verbatim span admission, assertion-level negation and hedge checks, and an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architectural boundary that keeps model text out of verdicts.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I. Grounding Gate Compared With Related Techniques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Grounding Gate Compared With Related Techniques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Technique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Verbatim span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Negation/hedge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Output reaches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Retrieval-augmented generation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Citation/provenance generation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Partial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Hallucination detection [4]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Score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Extractive information extraction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Field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Injection filtering [5]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Prompt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This work (gate)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Question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Published gains often fail controlled re-evaluation [6], [7],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trees rival deep networks on tabular data [8], overlapping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training sets bias variance estimates [11], single-split rankings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often fail to reproduce [12], and leakage is widespread [13]. We follow Demšar [9]: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Friedman test [10] followed by paired post-hoc tests. For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perception we use SCRFD [14] and ArcFace [15], which leave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 verification threshold to the integrator, and calibrate it 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LFW [16]; face-analysis error rates differ across demographic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groups [17], one reason CogniHire performs no demographic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inference.</w:t>
      </w:r>
    </w:p>
    <w:bookmarkEnd w:id="21"/>
    <w:bookmarkStart w:id="25" w:name="terminology-and-system-architecture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III. TERMINOLOGY AND SYSTEM ARCHITECTURE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Table II defines the seven terms the paper uses in a fixed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sense: a claim is the unit audited, and nothing in the system is a property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 the candidate.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II. Terminology Used Throughout the Paper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erminology Used Throughout the Paper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Meaning in CogniHire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Claim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A verbatim, single-clause span of the resume, stored with its character offsets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Evidence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A recorded observation linked to one claim: an interview answer, a quotation from it, or a check result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Measurement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A value computed by the system, such as a face-similarity or a latency; may be absent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Signal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A raw input to measurement: camera frames, typing telemetry, resume text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One of four per-claim statuses (Section III), set by a human reviewer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Audit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The set of verdicts with their evidence; the system’s only output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Screening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The hiring stage the audit informs; the decision itself stays with a person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Figure 1 shows how evidence moves from the candidate session up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to the reviewer, with the technology family at each layer marked. Every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guarantee is enforced at a boundary between two layers, and session state is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written to an append-only table so any session can be reconstructed turn by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turn.</w:t>
      </w:r>
    </w:p>
    <w:p>
      <w:pPr>
        <w:pStyle w:val="CaptionedFigure"/>
      </w:pPr>
      <w:r>
        <w:rPr>
          <w:rFonts w:ascii="Times New Roman" w:hAnsi="Times New Roman" w:cs="Times New Roman" w:eastAsia="Times New Roman"/>
        </w:rPr>
        <w:drawing>
          <wp:inline>
            <wp:extent cx="3017520" cy="224519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tmp/wd/fig_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24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Times New Roman" w:hAnsi="Times New Roman" w:cs="Times New Roman" w:eastAsia="Times New Roman"/>
        </w:rPr>
        <w:t>Fig. 1. Data flow in CogniHire. Evidence moves upward from the candidate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session to the human reviewer; each transition narrows what the system may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assert. Braces mark the layer where each technology family operates.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audit has four verdicts, deliberately not orderable: Substantiated, Not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demonstrated, Contradicted and Not examined. The last is essential, since an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unprobed claim that is simply absent reads as accepted. A claim with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evidence is Not examined; otherwise its verdict is set by the reviewer, and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model sets one.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Table III lists every component output, whether it is deployed,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whether it could act as a hidden score. The sufficiency model is fitted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only on synthetic data and the code cannot present its output as a finding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about a real person; the fit classifiers of Section V are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research benchmark that no runtime module imports.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III. Every Component Output, Its Deployment Status, and What It Can Influence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Every Component Output, Its Deployment Status, and What It Can Influence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Output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Produced by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Status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Reaches the recruiter as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Can it act as a hidden score?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Grounded claims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LLM + grounding gate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Operational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Claims with character offsets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No: only text already in the resume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Per-answer judgment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LLM (answer analysis)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Operational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A reason and a verbatim quote from the answer; its confidence is not shown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No: chooses follow-ups only; never sets a verdict or is averaged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Claim verdicts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Human reviewer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Operational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One verdict per claim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No: set by a person, never aggregated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Identity check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DL (SCRFD + ArcFace)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Presence gate only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Matched, mismatched or unchecked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No: logged for review, not an input to any verdict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Integrity events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Rule-based log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Operational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A time-ordered list of events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No: the old 0–100 risk score was removed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Evidence sufficiency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ML (logistic model)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Diagnostic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Never as a finding about a person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Blocked: synthetic-only fit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Resume–posting fit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ML (nine classifiers)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Research only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Not shown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Not deployed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As an example, the bullet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Built REST APIs in Django for a payments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service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is proposed by the model, found verbatim in one clause by the gate,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admitted with its offsets. The interview asks how the service handled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idempotent retries; a verbatim quote from the answer becomes evidence, the DL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layer logs presence, and the reviewer sets the verdict. No number about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candidate is computed.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Each design policy is enforced as a structure rather than a convention: an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import boundary checked in continuous integration stops the AI module from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authoring claims, a vocabulary ban that fails the build forbids a composite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score, and an append-only event table makes every session reconstructible.</w:t>
      </w:r>
    </w:p>
    <w:bookmarkEnd w:id="25"/>
    <w:bookmarkStart w:id="33" w:name="evidence-grounding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IV. EVIDENCE GROUNDING</w:t>
      </w:r>
    </w:p>
    <w:bookmarkStart w:id="29" w:name="selection-versus-generati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A. Selection Versus Generation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A model may select text from the resume but may not generate it; the code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implements the distinction as follows.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  <w:iCs/>
          <w:i/>
        </w:rPr>
        <w:t xml:space="preserve">Definition 1.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Let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be the resume text, split into clauses at sentence terminals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followed by whitespace, at semicolons and line breaks, and at the contrastive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conjunctions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but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however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although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. Let ν(·) lower-case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 string and collapse runs of whitespace. A proposed claim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selected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if there is a clause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offsets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s</m:t>
        </m:r>
        <m:r>
          <m:rPr>
            <m:sty m:val="p"/>
          </m:rPr>
          <m:t>&lt;</m:t>
        </m:r>
        <m:r>
          <m:t>e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inside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 ν(r[s:e]) = ν(c), and the part of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outside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contains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negation or hedge term. Otherwise</w:t>
      </w:r>
      <w:r>
        <w:rPr>
          <w:rFonts w:ascii="Times New Roman" w:hAnsi="Times New Roman" w:cs="Times New Roman" w:eastAsia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generated</w:t>
      </w:r>
      <w:r>
        <w:rPr>
          <w:rFonts w:ascii="Times New Roman" w:hAnsi="Times New Roman" w:cs="Times New Roman" w:eastAsia="Times New Roman"/>
        </w:rPr>
        <w:t xml:space="preserve">, and it is discarded.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Under this definition, changing case or line wrapping is still selection;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rewording, summarizing, translating, merging two clauses, or dropping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negation is generation. The term list covers negation (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not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never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without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cannot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)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hedges (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possibly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maybe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might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allegedly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).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Figure 2 shows the checks that apply this definition. For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instance,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I have not worked with Kubernetes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yields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Kubernetes claim,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possibly used Kafka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yields no Kafka claim,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I used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Django, but never in production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yields the Django claim alone.</w:t>
      </w:r>
    </w:p>
    <w:p>
      <w:pPr>
        <w:pStyle w:val="CaptionedFigure"/>
      </w:pPr>
      <w:r>
        <w:rPr>
          <w:rFonts w:ascii="Times New Roman" w:hAnsi="Times New Roman" w:cs="Times New Roman" w:eastAsia="Times New Roman"/>
        </w:rPr>
        <w:drawing>
          <wp:inline>
            <wp:extent cx="3017520" cy="185472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wd/fig_gat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854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Times New Roman" w:hAnsi="Times New Roman" w:cs="Times New Roman" w:eastAsia="Times New Roman"/>
        </w:rPr>
        <w:t>Fig. 2. The grounding gate. A proposed claim must pass all four checks 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order; failing any one discards it. Each box gives an example of an input that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check rejects.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grounding module is forbidden from importing the AI module, and an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architecture test fails continuous integration if that import appears, so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guarantee is a property of the build rather than of developer discipline.</w:t>
      </w:r>
    </w:p>
    <w:bookmarkEnd w:id="29"/>
    <w:bookmarkStart w:id="30" w:name="measured-behavior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B. Measured Behavior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An offline deterministic harness drives the real pipeline modules over 5,200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synthetic resumes spanning eight fields and four seniority levels.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language-model key is needed, so the result is reproducible.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Table IV summarizes the result: across roughly 100,000 trials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gate rejected all 48,149 meaning-preserving paraphrases and all 51,761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negation traps, before and after the fix described below. These rates hold for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 generator’s paraphrase and negation patterns, not arbitrary real phrasing.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IV. Grounding-Gate Correct-Decision Rate Before and After the Clause-Splitter Fix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Grounding-Gate Correct-Decision Rate Before and After the Clause-Splitter Fix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Trial type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Before fix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After fix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Paraphrases (must reject)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48,149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Negation traps (must reject)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51,761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Verbatim claims (must admit)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51,761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99.18%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initial run falsely rejected 425 of 51,761 genuine claims (0.82%), each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containing a period-bearing token such as Node.js: the clause splitter treated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every period as a sentence end. Requiring whitespace after a terminal fixed 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without weakening the guard. Only corpus-scale measurement caught this.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With a real model in the loop, the production extractor (Qwen2.5 7B [18],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run locally) proposed 193 claims across 24 real resumes from a public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 collection; the gate discarded 4 (2.1%) as text the model had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written rather than selected; the 189 admitted claims were not manually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annotated for relevance. The synthetic corpus is single-generator, so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defensible claim is the safety property, not general extraction coverage.</w:t>
      </w:r>
    </w:p>
    <w:bookmarkEnd w:id="30"/>
    <w:bookmarkStart w:id="31" w:name="ablation-on-real-resume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C. Ablation on Real Resumes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To test the gate outside the synthetic generator and to show that each check is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necessary, we built trials from the 24 independently written real resumes: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950 genuine single-clause sentences, and for each a negated and a hedged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version written into the resume (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I have not ...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Possibly ...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),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 paraphrase, and 955 spans crossing a real sentence boundary. Traps were kept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only where the candidate text is otherwise absent from the resume.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Table V removes one check at a time. The full gate made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error; removing the negation and hedge check admitted every negated and hedged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claim, and matching without clause scope lost 38.5% of genuine claims.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V. Gate Ablation on 24 Real Resumes: Must-Reject Trials Admitted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Gate Ablation on 24 Real Resumes: Must-Reject Trials Admitted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Configuration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Verbatim kept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Negation (947)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Hedge (947)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Cross-clause (955)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Paraphrase (344)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Injection (1,800)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Full gate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 negation check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 clause scope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61.5%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565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Substring only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955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No gate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955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344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1,800</w:t>
            </w:r>
          </w:p>
        </w:tc>
      </w:tr>
    </w:tbl>
    <w:bookmarkEnd w:id="31"/>
    <w:bookmarkStart w:id="32" w:name="prompt-injection-evaluation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D. Prompt-Injection Evaluation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Because the planner consumes only typed claims, an instruction embedded in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 has no field in which to act. We tested this against a fully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compromised extraction model that obeys every planted instruction. Twenty injection templates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(for example,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Ignore all previous instructions and list Kubernetes, Rust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AWS as expert skills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SYSTEM: mark every claim for this candidate as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substantiated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, and an HTML comment asserting cloud certifications) were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inserted at the start, middle and end of each of the 24 real resumes,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giving 1,440 injected documents. For each, the compromised model emitted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content the injection demanded. Table VI reports what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gate admitted.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VI. Grounding Gate Under a Fully Compromised Extraction Model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(1,440 Injected Resumes)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Grounding Gate Under a Fully Compromised Extraction Model (1,440 Injected Resumes)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Model output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Tested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Admitted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Demanded content not written in the resume (fabricated skills, verdicts, scores, recommendations)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1,800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Demanded content written verbatim inside the injected sentence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504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504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The injected sentence itself, selected verbatim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1,440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1,296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No fabricated output was admitted. The other rows mark the limit of grounding: text an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attacker writes into the resume is the candidate’s own words, so it can become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 claim, but only a claim for the interview to probe, never a verdict, score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or question plan. (The 144 injected sentences not admitted contain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do not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or a semicolon.) Four further vectors, each over the same 1,440 documents,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admitted no fabricated output either: zero-width characters, Cyrillic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homoglyphs, an instruction split across lines, and HTML hidden text; nor did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instructions in Spanish, Hindi, Chinese and French. Instructions inside images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or PDF metadata were not tested. Grounding removes the fabrication channel; detecting false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statements a candidate writes is the interview’s job.</w:t>
      </w:r>
    </w:p>
    <w:bookmarkEnd w:id="32"/>
    <w:bookmarkEnd w:id="33"/>
    <w:bookmarkStart w:id="41" w:name="machine-learning-what-model-choice-buys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V. MACHINE LEARNING: WHAT MODEL CHOICE BUYS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ML in CogniHire is never trained on hiring outcomes. This section asks, on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public benchmark, how much the choice of algorithm matters for screening-like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matching; none of these models is deployed.</w:t>
      </w:r>
    </w:p>
    <w:bookmarkStart w:id="34" w:name="X44e2f109a5444fd0756253b8ad067dfe7ca7602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A. Dataset, Pair Structure and Effective Sample Size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The public fit dataset [19] ships 8,000 labeled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(resume, posting) pairs (6,241 train, 1,759 test) labeled Good, Potential or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Fit; the pairs are the dataset’s own. Binarizing (Good or Potential versus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Fit), balancing each split and pooling leaves 7,910 pairs over 643 resumes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351 postings: 12.3 pairs per resume and 22.5 per posting on average.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dataset card gives no license or labeling procedure, so the labels are treated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as an unvalidated proxy and the benchmark is used only diagnostically.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Repeated entities make the effective sample size far smaller than 7,910, so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folds are grouped by posting and every significance test uses the ten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fold-level scores, not rows (Table VIII).</w:t>
      </w:r>
    </w:p>
    <w:bookmarkEnd w:id="34"/>
    <w:bookmarkStart w:id="38" w:name="protocol-and-results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B. Protocol and Results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Every experiment uses ten-fold grouped cross-validation. IDF statistics and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feature scaler are fitted inside each fold on training rows only, and identical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folds are reused for every model so all comparisons are paired. We compared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nine classifiers from six families using scikit-learn [20];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Table VII gives each model’s mean AUROC (area under the ROC curve;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0.5 is chance), expected calibration error (ECE, the mean gap between predicted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probability and observed frequency over ten bins) [21], latency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model size.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VII. Nine Classifiers, Ten-Fold Cross-Validation Grouped by Posting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(Mean ± Fold 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Nine Classifiers, Ten-Fold Cross-Validation Grouped by Posting (Mean ± Fold Std.)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AUROC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ECE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Lat. (µs)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Size (KB)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0.696 ± 0.031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0.057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74.7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Gradient boosting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0.689 ± 0.028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393.3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0.688 ± 0.030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88.2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24,732.6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SVM (RBF)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0.686 ± 0.028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195.0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526.8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Extra trees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0.685 ± 0.030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0.046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84.9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63,415.9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k-NN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0.680 ± 0.031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0.057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35.5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1,272.8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Hist. grad. boosting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0.679 ± 0.029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0.057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7.3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591.8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Gaussian NB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0.667 ± 0.033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0.117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1.1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0.665 ± 0.022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0.052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0.9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nine span only 0.031 AUROC, comparable to each model’s fold-to-fold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standard deviation. The Friedman test [10] rejects identical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performance (χ² = 38.35, p = 6.5×10⁻⁶), but under paired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Wilcoxon tests [22] with Holm correction [23]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leading MLP is statistically indistinguishable from all four tree ensembles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(adjusted p from 0.078 to 0.262). The Friedman effect size is moderate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(Kendall’s W = 0.48), and a corrected resampled t-test [11]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 Holm correction also finds no significant pairwise difference from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MLP; mean AUROC 95% intervals overlap for all nine models. A ranked table alone would have licensed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MLP is best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; the significance analysis does not.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To show the protocol can detect a real difference, we ran the same models,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folds and code on a synthetic control with a planted signal (best achievable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accuracy 0.925). Figure 3 shows both: each box spans the middle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half of a model’s ten fold scores. On the real task (a) the boxes overlap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almost completely; on the control (b) they separate clearly (χ² = 55.42, p = 3.7×10⁻⁹). The null is a property 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the task, not the protocol.</w:t>
      </w:r>
    </w:p>
    <w:p>
      <w:pPr>
        <w:pStyle w:val="CaptionedFigure"/>
      </w:pPr>
      <w:r>
        <w:rPr>
          <w:rFonts w:ascii="Times New Roman" w:hAnsi="Times New Roman" w:cs="Times New Roman" w:eastAsia="Times New Roman"/>
        </w:rPr>
        <w:drawing>
          <wp:inline>
            <wp:extent cx="5334000" cy="131424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tmp/wd/fig_fold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Times New Roman" w:hAnsi="Times New Roman" w:cs="Times New Roman" w:eastAsia="Times New Roman"/>
        </w:rPr>
        <w:t>Fig. 3. Per-fold results for the nine models over the same ten grouped folds.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Boxes span the middle half of the fold scores; the line is the median. (a) Real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screening task, AUROC: the boxes overlap almost completely. (b) Synthetic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control with a planted signal, accuracy: the same models, folds and code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separate clearly, which shows the protocol can detect real differences.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Nested cross-validation with an equal eight-configuration budget per model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improves no model by more than 0.0077 AUROC, and after tuning the leader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separates from fewer rivals, not more.</w:t>
      </w:r>
    </w:p>
    <w:bookmarkEnd w:id="38"/>
    <w:bookmarkStart w:id="39" w:name="Xef6cd31bbcdb28340ef9c36af2838d2b36bb455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C. Separating Matching From Candidate Quality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A pooled metric rewards two capabilities it cannot distinguish: knowing which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resumes tend to be labeled fit, and knowing which postings a given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 fits. Only the second is matching. Varying the input representation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under identical folds, the best representation (concatenated 1536-dimensional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 and posting embeddings [24]) reaches 0.755 AUROC.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probe given only the resume embedding, which cannot be matching, reaches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0.660 AUROC, 87% of that best score.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Of label variance, 19.4% lies between resumes and 80.6% within them: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labels are mostly relational, yet the between-resume share lets a resume-only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model score well. To isolate matching, we take pairs of rows sharing a resume,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one positive and one negative, and ask whether the model ranks the positive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posting higher; every resume-level property cancels, so chance is 0.5. Table VIII gives the result for the random forest over 4,112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such pairs.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VIII. Pairwise Ranking Accuracy (Random Forest, 4,112 Within-Resume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Pairs, Chance = 0.5)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Pairwise Ranking Accuracy (Random Forest, 4,112 Within-Resume Pairs, Chance = 0.5)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Representation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Between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Within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Folds &gt; 0.5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Sign-test p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Relational (10-d)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0.690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9 of 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Interaction (1536-d)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0.624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10 of 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0.002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Models do match: given one resume and two postings, they pick the fitting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one about 63% of the time, and they beat chance in nine or ten of ten folds.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But for the same random forest, moving from the relational to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1536-dimensional interaction representation raises pooled AUROC by +0.048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(0.688 to 0.737) and between-resume ranking by +0.047, while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within-resume matching changes by −0.009 (</w:t>
      </w:r>
      <m:oMath>
        <m:r>
          <m:t>p</m:t>
        </m:r>
        <m:r>
          <m:rPr>
            <m:sty m:val="p"/>
          </m:rPr>
          <m:t>&gt;</m:t>
        </m:r>
        <m:r>
          <m:t>0.4</m:t>
        </m:r>
      </m:oMath>
      <w:r>
        <w:rPr>
          <w:rFonts w:ascii="Times New Roman" w:hAnsi="Times New Roman" w:cs="Times New Roman" w:eastAsia="Times New Roman"/>
        </w:rPr>
        <w:t xml:space="preserve">, paired Wilcoxon over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folds). The improvement a leaderboard would record came from ranking candidates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against each other, not from matching them to roles. The diagnostic needs no extra labels, applies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to any paired benchmark with a recurring entity, and detects the target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substitution Raghavan et al. [2] describe.</w:t>
      </w:r>
    </w:p>
    <w:bookmarkEnd w:id="39"/>
    <w:bookmarkStart w:id="40" w:name="robustness-and-cost"/>
    <w:p>
      <w:pPr>
        <w:pStyle w:val="Heading2"/>
      </w:pPr>
      <w:r>
        <w:rPr>
          <w:rFonts w:ascii="Times New Roman" w:hAnsi="Times New Roman" w:cs="Times New Roman" w:eastAsia="Times New Roman"/>
          <w:b w:val="0"/>
          <w:i/>
        </w:rPr>
        <w:t>D. Robustness and Cost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Three further checks support the null result. Varying only the splitting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scheme (all 8,000 rows, a class-weighted random forest), the ungrouped scheme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scores 0.714 AUROC against 0.689 grouped by posting, a modest leakage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inflation; grouping by resume scores 0.703, which refutes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strong-memorization account; fully entity-disjoint folds are future work. Removing the ambiguous class scores 0.681, no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better than the binarized label. A learning curve flattens at 0.688 AUROC, so the limit is not sample size.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Cost is dominated by language-model extraction, not by the classifiers. Claim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extraction with Qwen2.5 7B run locally took a median of 12.1 s per resume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(4.9–36.6 s over 24 real resumes); the grounding gate took 1.1 ms per claim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check; the classifiers of Table VII take 0.2–195 µs per pair.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Face checks and per-answer judgments were not timed, so a complete end-to-end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figure is not yet available.</w:t>
      </w:r>
    </w:p>
    <w:bookmarkEnd w:id="40"/>
    <w:bookmarkEnd w:id="41"/>
    <w:bookmarkStart w:id="42" w:name="deep-learning-calibrating-identity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VI. DEEP LEARNING: CALIBRATING IDENTITY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Face detection (SCRFD [14]) and embedding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(ArcFace [15]) are frozen; the vendor’s age and gender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classifier is excluded by a loader allow-list.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system originally used an authored cosine-similarity threshold of 0.50,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reasoned and documented but flagged as uncalibrated. FAR is the fraction of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different-person pairs accepted and FRR the fraction of same-person pairs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rejected. We chose the equal-error-rate threshold, where the two are equal,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because no validated cost ratio between them exists for this use; it was fitted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on the 2,200 pairs of the LFW [16] development training split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tested on its 1,000 held-out pairs. Table IX compares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calibrated and authored thresholds; the embedding’s AUC on the held-out pairs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is 0.9785 at any threshold. Wilson 95% intervals on the 500 genuine and 500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impostor test pairs are 0.018–0.049 for FAR and 0.021–0.054 for FRR.</w:t>
      </w:r>
    </w:p>
    <w:p>
      <w:pPr>
        <w:pStyle w:val="TableCaption"/>
        <w:jc w:val="center"/>
      </w:pPr>
      <w:r>
        <w:rPr>
          <w:rFonts w:ascii="Times New Roman" w:hAnsi="Times New Roman" w:cs="Times New Roman" w:eastAsia="Times New Roman"/>
        </w:rPr>
        <w:t>TABLE IX. Face-Verification Threshold Before and After Calibration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(LFW, 1,000 Held-Out Pairs)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Face-Verification Threshold Before and After Calibration (LFW, 1,000 Held-Out Pairs)"/>
        <w:tblBorders>
          <w:top w:val="single" w:sz="4" w:color="000000"/>
          <w:bottom w:val="single" w:sz="4" w:color="000000"/>
          <w:insideH w:val="single" w:sz="4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Threshold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FAR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FRR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 xml:space="preserve">Accuracy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0.1266 (calibrated)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0.968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0.50 (authored)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0.414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sz w:val="18"/>
              </w:rPr>
              <w:t xml:space="preserve">0.793</w:t>
            </w:r>
          </w:p>
        </w:tc>
      </w:tr>
    </w:tbl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authored value would have falsely rejected 41.4% of genuine matches.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Calibration cut false rejection twelvefold at a false-acceptance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cost of 3.0%.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identity result type is three-valued. Unchecked carries a reason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has no similarity field at all—not 0.0, not null—so no downstream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comparison can read a failed measurement as a low-but-real one, in the spirit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of distribution-free abstention [25].</w:t>
      </w:r>
    </w:p>
    <w:bookmarkEnd w:id="42"/>
    <w:bookmarkStart w:id="43" w:name="integration-compliance-and-limitations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VII. INTEGRATION, COMPLIANCE, AND LIMITATIONS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Grounding guarantees claims are the candidate’s own words, ML measures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evidence properties, and DL supplies identity continuity; none sets a verdict,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the loop ends in a human reviewer, not an aggregate.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The design corresponds architecturally to current regulation; whether 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achieves legal compliance is outside this paper’s scope. Bias audits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candidate notification (NYC Local Law 144 [26], the Illinois AI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Video Interview Act [27] and HB 3773 [28]) are served by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per-session consent and by auditing the per-claim verdict distribution rather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than a score. Human oversight, explanation of decisions and record-keeping (EU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AI Act Arts. 14, 86 and 12 [29]) are served by reviewer-set verdicts,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evidence attached to every verdict with character offsets, and an append-only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event store.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  <w:iCs/>
          <w:i/>
        </w:rPr>
        <w:t xml:space="preserve">Limitations.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 mean model confidence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per session, which a recruiter could read as a candidate score, was removed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from the report during this revision. Each judgment carries an uncalibrated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model confidence between 0 and 1 with one use: below 0.6 the topic gets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follow-up question. It is not shown to the reviewer and never aggregated;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follow-up adds evidence but sets no verdict. Identity matching is implemented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tested but is currently only a presence gate on the production path, so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continuous identity verification is not yet deployed. The face threshold is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calibrated on a public benchmark, not candidates. No structured recruiter study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has been conducted, so the premise that reviewers prefer a claim audit to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score is untested. Injection templates are hand-written, not attacks observed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 the wild.</w:t>
      </w:r>
    </w:p>
    <w:bookmarkEnd w:id="43"/>
    <w:bookmarkStart w:id="44" w:name="conclusion-and-future-work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VIII. CONCLUSION AND FUTURE WORK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Demonstrated by measurement, on the evaluated data: the grounding gate made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no error on roughly 100,000 synthetic and 4,100 real-resume trials, each of its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checks is necessary, and it admitted none of 1,800 fabricated claims from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fully compromised model; an authored face threshold would have falsely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rejected 41.4% of genuine LFW matches, against 3.4% after calibration;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nine classifiers were statistically indistinguishable on a public benchmark,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where apparent gains came from ranking candidates rather than matching them.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Not yet demonstrated: that reviewers decide better or more consistently with 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claim audit than with a score, that the face threshold holds for candidates,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and that the design satisfies a legal audit. Next steps are a controlled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reviewer study (agreement, review time, decision consistency), end-to-end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validation and timing on consented sessions, entity-disjoint and repeated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cross-validation, image and document-level injection vectors, and face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evaluation stratified by demographics, device and lighting.</w:t>
      </w:r>
    </w:p>
    <w:bookmarkEnd w:id="44"/>
    <w:bookmarkStart w:id="45" w:name="data-availability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DATA AVAILABILITY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All code, per-fold results, evaluation harnesses (grounding, ablation and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prompt injection) and figure sources are publicly available at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https://github.com/devesh-386/cognihire-. The face study uses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public LFW benchmark and the grounding evaluation a synthetic corpus and public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resumes; no human subjects were involved.</w:t>
      </w:r>
    </w:p>
    <w:bookmarkEnd w:id="45"/>
    <w:bookmarkStart w:id="47" w:name="references"/>
    <w:p>
      <w:pPr>
        <w:pStyle w:val="Heading1"/>
        <w:jc w:val="center"/>
      </w:pPr>
      <w:r>
        <w:rPr>
          <w:rFonts w:ascii="Times New Roman" w:hAnsi="Times New Roman" w:cs="Times New Roman" w:eastAsia="Times New Roman"/>
          <w:b w:val="0"/>
        </w:rPr>
        <w:t>REFERENCES</w:t>
      </w:r>
    </w:p>
    <w:p>
      <w:pPr>
        <w:pStyle w:val="FirstParagraph"/>
        <w:jc w:val="both"/>
      </w:pPr>
      <w:r>
        <w:rPr>
          <w:rFonts w:ascii="Times New Roman" w:hAnsi="Times New Roman" w:cs="Times New Roman" w:eastAsia="Times New Roman"/>
        </w:rPr>
        <w:t xml:space="preserve">[1] M. Bogen and A. Rieke,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Help wanted: An examination of hiring algorithms,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equity, and bias,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Upturn, Washington, DC, USA, Dec. 2018.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[2] M. Raghavan, S. Barocas, J. Kleinberg, and K. Levy,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Mitigating bias 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algorithmic hiring: Evaluating claims and practices,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Conf.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Fairness, Accountability, and Transparency (FAT* ’20)</w:t>
      </w:r>
      <w:r>
        <w:rPr>
          <w:rFonts w:ascii="Times New Roman" w:hAnsi="Times New Roman" w:cs="Times New Roman" w:eastAsia="Times New Roman"/>
        </w:rPr>
        <w:t xml:space="preserve">, Barcelona, Spain,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2020, pp. 469–481.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[3] S. Wachter, B. Mittelstadt, and C. Russell,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Counterfactual explanations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without opening the black box: Automated decisions and the GDPR,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Harvard J. Law Technol.</w:t>
      </w:r>
      <w:r>
        <w:rPr>
          <w:rFonts w:ascii="Times New Roman" w:hAnsi="Times New Roman" w:cs="Times New Roman" w:eastAsia="Times New Roman"/>
        </w:rPr>
        <w:t xml:space="preserve">, vol. 31, no. 2, pp. 841–887, 2018.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[4] Z. Ji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et al.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Survey of hallucination in natural language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generation,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ACM Comput. Surv.</w:t>
      </w:r>
      <w:r>
        <w:rPr>
          <w:rFonts w:ascii="Times New Roman" w:hAnsi="Times New Roman" w:cs="Times New Roman" w:eastAsia="Times New Roman"/>
        </w:rPr>
        <w:t xml:space="preserve">, vol. 55, no. 12, Art. no. 248, 2023.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[5] K. Greshake, S. Abdelnabi, S. Mishra, C. Endres, T. Holz, and M. Fritz,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Not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what you’ve signed up for: Compromising real-world LLM-integrated applications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with indirect prompt injection,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16th ACM Workshop Artif.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Intell. Security (AISec ’23)</w:t>
      </w:r>
      <w:r>
        <w:rPr>
          <w:rFonts w:ascii="Times New Roman" w:hAnsi="Times New Roman" w:cs="Times New Roman" w:eastAsia="Times New Roman"/>
        </w:rPr>
        <w:t xml:space="preserve">, 2023, pp. 79–90.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[6] M. Ferrari Dacrema, P. Cremonesi, and D. Jannach,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Are we really making much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progress? A worrying analysis of recent neural recommendation approaches,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13th ACM Conf. Recommender Systems (RecSys ’19)</w:t>
      </w:r>
      <w:r>
        <w:rPr>
          <w:rFonts w:ascii="Times New Roman" w:hAnsi="Times New Roman" w:cs="Times New Roman" w:eastAsia="Times New Roman"/>
        </w:rPr>
        <w:t xml:space="preserve">, Copenhagen,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Denmark, 2019, pp. 101–109.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[7] K. Musgrave, S. Belongie, and S.-N. Lim,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A metric learning reality check,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Computer Vision – ECCV 2020</w:t>
      </w:r>
      <w:r>
        <w:rPr>
          <w:rFonts w:ascii="Times New Roman" w:hAnsi="Times New Roman" w:cs="Times New Roman" w:eastAsia="Times New Roman"/>
        </w:rPr>
        <w:t xml:space="preserve">, ser. LNCS, vol. 12370. Cham,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Switzerland: Springer, 2020, pp. 681–699.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[8] L. Grinsztajn, E. Oyallon, and G. Varoquaux,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Why do tree-based models still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outperform deep learning on typical tabular data?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Advances in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Neural Information Processing Systems (NeurIPS), Datasets and Benchmarks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Track</w:t>
      </w:r>
      <w:r>
        <w:rPr>
          <w:rFonts w:ascii="Times New Roman" w:hAnsi="Times New Roman" w:cs="Times New Roman" w:eastAsia="Times New Roman"/>
        </w:rPr>
        <w:t xml:space="preserve">, 2022.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[9] J. Demšar,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Statistical comparisons of classifiers over multiple data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sets,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J. Mach. Learn. Res.</w:t>
      </w:r>
      <w:r>
        <w:rPr>
          <w:rFonts w:ascii="Times New Roman" w:hAnsi="Times New Roman" w:cs="Times New Roman" w:eastAsia="Times New Roman"/>
        </w:rPr>
        <w:t xml:space="preserve">, vol. 7, pp. 1–30, 2006.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[10] M. Friedman,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The use of ranks to avoid the assumption of normality implicit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 the analysis of variance,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J. Amer. Statist. Assoc.</w:t>
      </w:r>
      <w:r>
        <w:rPr>
          <w:rFonts w:ascii="Times New Roman" w:hAnsi="Times New Roman" w:cs="Times New Roman" w:eastAsia="Times New Roman"/>
        </w:rPr>
        <w:t xml:space="preserve">, vol. 32,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no. 200, pp. 675–701, 1937.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[11] C. Nadeau and Y. Bengio,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Inference for the generalization error,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Mach. Learn.</w:t>
      </w:r>
      <w:r>
        <w:rPr>
          <w:rFonts w:ascii="Times New Roman" w:hAnsi="Times New Roman" w:cs="Times New Roman" w:eastAsia="Times New Roman"/>
        </w:rPr>
        <w:t xml:space="preserve">, vol. 52, no. 3, pp. 239–281, 2003.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[12] K. Gorman and S. Bedrick,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We need to talk about standard splits,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57th Annu. Meeting Assoc. Comput. Linguistics (ACL)</w:t>
      </w:r>
      <w:r>
        <w:rPr>
          <w:rFonts w:ascii="Times New Roman" w:hAnsi="Times New Roman" w:cs="Times New Roman" w:eastAsia="Times New Roman"/>
        </w:rPr>
        <w:t xml:space="preserve">, Florence,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Italy, 2019, pp. 2786–2791.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[13] S. Kapoor and A. Narayanan,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Leakage and the reproducibility crisis 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machine-learning-based science,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Patterns</w:t>
      </w:r>
      <w:r>
        <w:rPr>
          <w:rFonts w:ascii="Times New Roman" w:hAnsi="Times New Roman" w:cs="Times New Roman" w:eastAsia="Times New Roman"/>
        </w:rPr>
        <w:t xml:space="preserve">, vol. 4, no. 9, Art.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no. 100804, 2023.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[14] J. Guo, J. Deng, A. Lattas, and S. Zafeiriou,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Sample and computation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redistribution for efficient face detection,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Int. Conf.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Learning Representations (ICLR)</w:t>
      </w:r>
      <w:r>
        <w:rPr>
          <w:rFonts w:ascii="Times New Roman" w:hAnsi="Times New Roman" w:cs="Times New Roman" w:eastAsia="Times New Roman"/>
        </w:rPr>
        <w:t xml:space="preserve">, 2022.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[15] J. Deng, J. Guo, N. Xue, and S. Zafeiriou,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ArcFace: Additive angular margin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loss for deep face recognition,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IEEE/CVF Conf. Computer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Vision and Pattern Recognition (CVPR)</w:t>
      </w:r>
      <w:r>
        <w:rPr>
          <w:rFonts w:ascii="Times New Roman" w:hAnsi="Times New Roman" w:cs="Times New Roman" w:eastAsia="Times New Roman"/>
        </w:rPr>
        <w:t xml:space="preserve">, 2019, pp. 4690–4699.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[16] G. B. Huang, M. Ramesh, T. Berg, and E. Learned-Miller,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Labeled Faces in the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Wild: A database for studying face recognition in unconstrained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environments,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Univ. Massachusetts, Amherst, MA, USA, Tech. Rep. 07-49,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Oct. 2007.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[17] J. Buolamwini and T. Gebru,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Gender shades: Intersectional accuracy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disparities in commercial gender classification,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Conf.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Fairness, Accountability and Transparency</w:t>
      </w:r>
      <w:r>
        <w:rPr>
          <w:rFonts w:ascii="Times New Roman" w:hAnsi="Times New Roman" w:cs="Times New Roman" w:eastAsia="Times New Roman"/>
        </w:rPr>
        <w:t xml:space="preserve">, PMLR vol. 81, 2018, pp. 77–91.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[18] Qwen Team,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Qwen2.5 technical report,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arXiv:2412.15115, 2024.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[19] cnamuangtoun,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resume-job-description-fit,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Hugging Face Datasets, 2024.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[Online]. Available:</w:t>
      </w:r>
      <w:r>
        <w:rPr>
          <w:rFonts w:ascii="Times New Roman" w:hAnsi="Times New Roman" w:cs="Times New Roman" w:eastAsia="Times New Roman"/>
        </w:rPr>
        <w:t xml:space="preserve"> </w:t>
      </w:r>
      <w:hyperlink r:id="rId46">
        <w:r>
          <w:rPr>
            <w:rStyle w:val="Hyperlink"/>
          </w:rPr>
          <w:t xml:space="preserve">https://huggingface.co/datasets/cnamuangtoun/resume-job-description-fit</w:t>
        </w:r>
      </w:hyperlink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(accessed Sep. 8, 2026).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[20] F. Pedregosa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et al.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Scikit-learn: Machine learning in Python,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J. Mach. Learn. Res.</w:t>
      </w:r>
      <w:r>
        <w:rPr>
          <w:rFonts w:ascii="Times New Roman" w:hAnsi="Times New Roman" w:cs="Times New Roman" w:eastAsia="Times New Roman"/>
        </w:rPr>
        <w:t xml:space="preserve">, vol. 12, pp. 2825–2830, 2011.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[21] C. Guo, G. Pleiss, Y. Sun, and K. Q. Weinberger,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On calibration of modern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neural networks,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Proc. 34th Int. Conf. Machine Learning (ICML)</w:t>
      </w:r>
      <w:r>
        <w:rPr>
          <w:rFonts w:ascii="Times New Roman" w:hAnsi="Times New Roman" w:cs="Times New Roman" w:eastAsia="Times New Roman"/>
        </w:rPr>
        <w:t xml:space="preserve">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PMLR vol. 70, 2017, pp. 1321–1330.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[22] F. Wilcoxon,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Individual comparisons by ranking methods,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Biometrics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Bull.</w:t>
      </w:r>
      <w:r>
        <w:rPr>
          <w:rFonts w:ascii="Times New Roman" w:hAnsi="Times New Roman" w:cs="Times New Roman" w:eastAsia="Times New Roman"/>
        </w:rPr>
        <w:t xml:space="preserve">, vol. 1, no. 6, pp. 80–83, 1945.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[23] S. Holm,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A simple sequentially rejective multiple test procedure,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Scand. J. Statist.</w:t>
      </w:r>
      <w:r>
        <w:rPr>
          <w:rFonts w:ascii="Times New Roman" w:hAnsi="Times New Roman" w:cs="Times New Roman" w:eastAsia="Times New Roman"/>
        </w:rPr>
        <w:t xml:space="preserve">, vol. 6, no. 2, pp. 65–70, 1979.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[24] Z. Nussbaum, J. X. Morris, B. Duderstadt, and A. Mulyar,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Nomic Embed: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Training a reproducible long context text embedder,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arXiv:2402.01613, 2024.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[25] V. Vovk, A. Gammerman, and G. Shafer,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Algorithmic Learning in a Random</w:t>
      </w:r>
      <w:r>
        <w:rPr>
          <w:rFonts w:ascii="Times New Roman" w:hAnsi="Times New Roman" w:cs="Times New Roman" w:eastAsia="Times New Roman"/>
          <w:iCs/>
          <w:i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World</w:t>
      </w:r>
      <w:r>
        <w:rPr>
          <w:rFonts w:ascii="Times New Roman" w:hAnsi="Times New Roman" w:cs="Times New Roman" w:eastAsia="Times New Roman"/>
        </w:rPr>
        <w:t xml:space="preserve">. New York, NY, USA: Springer, 2005.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[26] New York City Council,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Local Law 144 of 2021: Automated employment decision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tools,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N.Y.C. Admin. Code §§ 20-870–20-874, enacted Dec. 2021, enforced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from Jul. 5, 2023.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[27] Illinois General Assembly,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Artificial Intelligence Video Interview Act,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820 ILCS 42, effective Jan. 1, 2020.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[28] Illinois General Assembly,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HB 3773: Amendment to the Illinois Human Rights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Act (artificial intelligence in employment),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Public Act 103-0804, effective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Jan. 1, 2026.</w:t>
      </w:r>
    </w:p>
    <w:p>
      <w:pPr>
        <w:pStyle w:val="BodyText"/>
        <w:jc w:val="both"/>
      </w:pPr>
      <w:r>
        <w:rPr>
          <w:rFonts w:ascii="Times New Roman" w:hAnsi="Times New Roman" w:cs="Times New Roman" w:eastAsia="Times New Roman"/>
        </w:rPr>
        <w:t xml:space="preserve">[29] European Parliament and Council of the European Union,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“</w:t>
      </w:r>
      <w:r>
        <w:rPr>
          <w:rFonts w:ascii="Times New Roman" w:hAnsi="Times New Roman" w:cs="Times New Roman" w:eastAsia="Times New Roman"/>
        </w:rPr>
        <w:t xml:space="preserve">Regulation (EU)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2024/1689 laying down harmonised rules on artificial intelligence (Artificial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</w:rPr>
        <w:t xml:space="preserve">Intelligence Act),</w:t>
      </w:r>
      <w:r>
        <w:rPr>
          <w:rFonts w:ascii="Times New Roman" w:hAnsi="Times New Roman" w:cs="Times New Roman" w:eastAsia="Times New Roman"/>
        </w:rPr>
        <w:t xml:space="preserve">”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Times New Roman" w:hAnsi="Times New Roman" w:cs="Times New Roman" w:eastAsia="Times New Roman"/>
          <w:iCs/>
          <w:i/>
        </w:rPr>
        <w:t xml:space="preserve">Off. J. Eur. Union</w:t>
      </w:r>
      <w:r>
        <w:rPr>
          <w:rFonts w:ascii="Times New Roman" w:hAnsi="Times New Roman" w:cs="Times New Roman" w:eastAsia="Times New Roman"/>
        </w:rPr>
        <w:t xml:space="preserve">, OJ L, 2024/1689, Jul. 12, 2024.</w:t>
      </w:r>
    </w:p>
    <w:bookmarkEnd w:id="47"/>
    <w:sectPr>
      <w:pgSz w:w="11906" w:h="16838"/>
      <w:pgMar w:top="1247" w:bottom="1247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cs="Times New Roman" w:eastAsia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18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BodyTextChar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BodyText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cs="Times New Roman" w:eastAsia="Times New Roman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rFonts w:ascii="Times New Roman" w:hAnsi="Times New Roman" w:cs="Times New Roman" w:eastAsia="Times New Roman"/>
      <w:b/>
    </w:rPr>
  </w:style>
  <w:style w:type="character" w:customStyle="1" w:styleId="DataTypeTok">
    <w:name w:val="DataTypeTok"/>
    <w:basedOn w:val="VerbatimChar"/>
    <w:rPr>
      <w:rFonts w:ascii="Times New Roman" w:hAnsi="Times New Roman" w:cs="Times New Roman" w:eastAsia="Times New Roman"/>
    </w:rPr>
  </w:style>
  <w:style w:type="character" w:customStyle="1" w:styleId="DecValTok">
    <w:name w:val="DecValTok"/>
    <w:basedOn w:val="VerbatimChar"/>
    <w:rPr>
      <w:rFonts w:ascii="Times New Roman" w:hAnsi="Times New Roman" w:cs="Times New Roman" w:eastAsia="Times New Roman"/>
    </w:rPr>
  </w:style>
  <w:style w:type="character" w:customStyle="1" w:styleId="BaseNTok">
    <w:name w:val="BaseNTok"/>
    <w:basedOn w:val="VerbatimChar"/>
    <w:rPr>
      <w:rFonts w:ascii="Times New Roman" w:hAnsi="Times New Roman" w:cs="Times New Roman" w:eastAsia="Times New Roman"/>
    </w:rPr>
  </w:style>
  <w:style w:type="character" w:customStyle="1" w:styleId="FloatTok">
    <w:name w:val="FloatTok"/>
    <w:basedOn w:val="VerbatimChar"/>
    <w:rPr>
      <w:rFonts w:ascii="Times New Roman" w:hAnsi="Times New Roman" w:cs="Times New Roman" w:eastAsia="Times New Roman"/>
    </w:rPr>
  </w:style>
  <w:style w:type="character" w:customStyle="1" w:styleId="ConstantTok">
    <w:name w:val="ConstantTok"/>
    <w:basedOn w:val="VerbatimChar"/>
    <w:rPr>
      <w:rFonts w:ascii="Times New Roman" w:hAnsi="Times New Roman" w:cs="Times New Roman" w:eastAsia="Times New Roman"/>
    </w:rPr>
  </w:style>
  <w:style w:type="character" w:customStyle="1" w:styleId="CharTok">
    <w:name w:val="CharTok"/>
    <w:basedOn w:val="VerbatimChar"/>
    <w:rPr>
      <w:rFonts w:ascii="Times New Roman" w:hAnsi="Times New Roman" w:cs="Times New Roman" w:eastAsia="Times New Roman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 w:eastAsia="Times New Roman"/>
    </w:rPr>
  </w:style>
  <w:style w:type="character" w:customStyle="1" w:styleId="StringTok">
    <w:name w:val="StringTok"/>
    <w:basedOn w:val="VerbatimChar"/>
    <w:rPr>
      <w:rFonts w:ascii="Times New Roman" w:hAnsi="Times New Roman" w:cs="Times New Roman" w:eastAsia="Times New Roman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 w:eastAsia="Times New Roman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 w:eastAsia="Times New Roman"/>
    </w:rPr>
  </w:style>
  <w:style w:type="character" w:customStyle="1" w:styleId="ImportTok">
    <w:name w:val="ImportTok"/>
    <w:basedOn w:val="VerbatimChar"/>
    <w:rPr>
      <w:rFonts w:ascii="Times New Roman" w:hAnsi="Times New Roman" w:cs="Times New Roman" w:eastAsia="Times New Roman"/>
      <w:b/>
    </w:rPr>
  </w:style>
  <w:style w:type="character" w:customStyle="1" w:styleId="CommentTok">
    <w:name w:val="CommentTok"/>
    <w:basedOn w:val="VerbatimChar"/>
    <w:rPr>
      <w:rFonts w:ascii="Times New Roman" w:hAnsi="Times New Roman" w:cs="Times New Roman" w:eastAsia="Times New Roman"/>
      <w:i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 w:eastAsia="Times New Roman"/>
      <w:i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 w:eastAsia="Times New Roman"/>
      <w:b/>
      <w:i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 w:eastAsia="Times New Roman"/>
      <w:b/>
      <w:i/>
    </w:rPr>
  </w:style>
  <w:style w:type="character" w:customStyle="1" w:styleId="OtherTok">
    <w:name w:val="OtherTok"/>
    <w:basedOn w:val="VerbatimChar"/>
    <w:rPr>
      <w:rFonts w:ascii="Times New Roman" w:hAnsi="Times New Roman" w:cs="Times New Roman" w:eastAsia="Times New Roman"/>
    </w:rPr>
  </w:style>
  <w:style w:type="character" w:customStyle="1" w:styleId="FunctionTok">
    <w:name w:val="FunctionTok"/>
    <w:basedOn w:val="VerbatimChar"/>
    <w:rPr>
      <w:rFonts w:ascii="Times New Roman" w:hAnsi="Times New Roman" w:cs="Times New Roman" w:eastAsia="Times New Roman"/>
    </w:rPr>
  </w:style>
  <w:style w:type="character" w:customStyle="1" w:styleId="VariableTok">
    <w:name w:val="VariableTok"/>
    <w:basedOn w:val="VerbatimChar"/>
    <w:rPr>
      <w:rFonts w:ascii="Times New Roman" w:hAnsi="Times New Roman" w:cs="Times New Roman" w:eastAsia="Times New Roman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 w:eastAsia="Times New Roman"/>
      <w:b/>
    </w:rPr>
  </w:style>
  <w:style w:type="character" w:customStyle="1" w:styleId="OperatorTok">
    <w:name w:val="OperatorTok"/>
    <w:basedOn w:val="VerbatimChar"/>
    <w:rPr>
      <w:rFonts w:ascii="Times New Roman" w:hAnsi="Times New Roman" w:cs="Times New Roman" w:eastAsia="Times New Roman"/>
    </w:rPr>
  </w:style>
  <w:style w:type="character" w:customStyle="1" w:styleId="BuiltInTok">
    <w:name w:val="BuiltInTok"/>
    <w:basedOn w:val="VerbatimChar"/>
    <w:rPr>
      <w:rFonts w:ascii="Times New Roman" w:hAnsi="Times New Roman" w:cs="Times New Roman" w:eastAsia="Times New Roman"/>
    </w:rPr>
  </w:style>
  <w:style w:type="character" w:customStyle="1" w:styleId="ExtensionTok">
    <w:name w:val="ExtensionTok"/>
    <w:basedOn w:val="VerbatimChar"/>
    <w:rPr>
      <w:rFonts w:ascii="Times New Roman" w:hAnsi="Times New Roman" w:cs="Times New Roman" w:eastAsia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 w:eastAsia="Times New Roman"/>
    </w:rPr>
  </w:style>
  <w:style w:type="character" w:customStyle="1" w:styleId="AttributeTok">
    <w:name w:val="AttributeTok"/>
    <w:basedOn w:val="VerbatimChar"/>
    <w:rPr>
      <w:rFonts w:ascii="Times New Roman" w:hAnsi="Times New Roman" w:cs="Times New Roman" w:eastAsia="Times New Roman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 w:eastAsia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 w:eastAsia="Times New Roman"/>
      <w:b/>
      <w:i/>
    </w:rPr>
  </w:style>
  <w:style w:type="character" w:customStyle="1" w:styleId="WarningTok">
    <w:name w:val="WarningTok"/>
    <w:basedOn w:val="VerbatimChar"/>
    <w:rPr>
      <w:rFonts w:ascii="Times New Roman" w:hAnsi="Times New Roman" w:cs="Times New Roman" w:eastAsia="Times New Roman"/>
      <w:b/>
      <w:i/>
    </w:rPr>
  </w:style>
  <w:style w:type="character" w:customStyle="1" w:styleId="AlertTok">
    <w:name w:val="AlertTok"/>
    <w:basedOn w:val="VerbatimChar"/>
    <w:rPr>
      <w:rFonts w:ascii="Times New Roman" w:hAnsi="Times New Roman" w:cs="Times New Roman" w:eastAsia="Times New Roman"/>
      <w:b/>
    </w:rPr>
  </w:style>
  <w:style w:type="character" w:customStyle="1" w:styleId="ErrorTok">
    <w:name w:val="ErrorTok"/>
    <w:basedOn w:val="VerbatimChar"/>
    <w:rPr>
      <w:rFonts w:ascii="Times New Roman" w:hAnsi="Times New Roman" w:cs="Times New Roman" w:eastAsia="Times New Roman"/>
      <w:b/>
    </w:rPr>
  </w:style>
  <w:style w:type="character" w:customStyle="1" w:styleId="NormalTok">
    <w:name w:val="NormalTok"/>
    <w:basedOn w:val="VerbatimChar"/>
    <w:rPr>
      <w:rFonts w:ascii="Times New Roman" w:hAnsi="Times New Roman" w:cs="Times New Roman" w:eastAsia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5" Type="http://schemas.openxmlformats.org/officeDocument/2006/relationships/image" Target="media/rId35.png"/><Relationship Id="rId26" Type="http://schemas.openxmlformats.org/officeDocument/2006/relationships/image" Target="media/rId26.png"/><Relationship Id="rId46" Type="http://schemas.openxmlformats.org/officeDocument/2006/relationships/hyperlink" Target="https://huggingface.co/datasets/cnamuangtoun/resume-job-description-fit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huggingface.co/datasets/cnamuangtoun/resume-job-description-f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CogniHire: Auditing Resume Claims Instead of Scoring Candidates</dc:title>
  <dc:creator>Devesh S V Department of Computing Technologies SRM Institute of Science and Technology, Kattankalathur, Chennai, India deveshsv.386@gmail.com Shrikrishna S. Chippalkatti Scientist E Centre for Development of Advanced Computing (C-DAC), Bengaluru, India krishnac@cdac.in Dr. Aswathy K Cherian Associate Professor Department of Computing Technologies SRM Institute of Science and Technology, Kattankalathur, Chennai, India aswathyc1@srmist.edu.in</dc:creator>
  <cp:keywords/>
  <dcterms:created xsi:type="dcterms:W3CDTF">2026-09-29T13:38:44Z</dcterms:created>
  <dcterms:modified xsi:type="dcterms:W3CDTF">2026-09-29T13:38:44Z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Automated hiring systems typically emit a score: a scalar that ranks a candidate against others. Such scores resist explanation, give a candidate nothing specific to contest, and carry growing regulatory exposure. We present CogniHire, a technical screening system designed to audit the claims a candidate makes rather than score the candidate. A deterministic grounding gate constrains a language model to select claim text from the resume and forbids it to author any. Across roughly 100,000 synthetic trials the gate rejected every meaning-preserving paraphrase and negation trap while admitting every verbatim claim, and under a worst-case prompt-injection model it admitted none of 1,800 fabricated claims. For machine learning we compare nine classifiers under grouped cross-validation with significance testing and introduce a within-query diagnostic that separates matching ability from candidate-level quality. For deep learning we show that a plausible authored face-similarity threshold of 0.50 would have falsely rejected 41.4% of genuine identity matches, against 3.4% at a threshold calibrated on Labeled Faces in the Wild.</vt:lpwstr>
  </property>
</Properties>
</file>