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CogniHire</w:t>
      </w:r>
      <w:r>
        <w:t xml:space="preserve"> </w:t>
      </w:r>
      <w:r>
        <w:t xml:space="preserve">IEEE</w:t>
      </w:r>
      <w:r>
        <w:t xml:space="preserve"> </w:t>
      </w:r>
      <w:r>
        <w:t xml:space="preserve">Paper</w:t>
      </w:r>
      <w:r>
        <w:t xml:space="preserve"> </w:t>
      </w:r>
      <w:r>
        <w:t xml:space="preserve">—</w:t>
      </w:r>
      <w:r>
        <w:t xml:space="preserve"> </w:t>
      </w:r>
      <w:r>
        <w:t xml:space="preserve">Revision</w:t>
      </w:r>
      <w:r>
        <w:t xml:space="preserve"> </w:t>
      </w:r>
      <w:r>
        <w:t xml:space="preserve">Report</w:t>
      </w:r>
    </w:p>
    <w:p>
      <w:pPr>
        <w:pStyle w:val="Subtitle"/>
      </w:pPr>
      <w:r>
        <w:t xml:space="preserve">Response</w:t>
      </w:r>
      <w:r>
        <w:t xml:space="preserve"> </w:t>
      </w:r>
      <w:r>
        <w:t xml:space="preserve">to</w:t>
      </w:r>
      <w:r>
        <w:t xml:space="preserve"> </w:t>
      </w:r>
      <w:r>
        <w:t xml:space="preserve">review</w:t>
      </w:r>
      <w:r>
        <w:t xml:space="preserve"> </w:t>
      </w:r>
      <w:r>
        <w:t xml:space="preserve">comments</w:t>
      </w:r>
    </w:p>
    <w:p>
      <w:pPr>
        <w:pStyle w:val="Author"/>
      </w:pPr>
      <w:r>
        <w:t xml:space="preserve">Devesh</w:t>
      </w:r>
      <w:r>
        <w:t xml:space="preserve"> </w:t>
      </w:r>
      <w:r>
        <w:t xml:space="preserve">S</w:t>
      </w:r>
      <w:r>
        <w:t xml:space="preserve"> </w:t>
      </w:r>
      <w:r>
        <w:t xml:space="preserve">V,</w:t>
      </w:r>
      <w:r>
        <w:t xml:space="preserve"> </w:t>
      </w:r>
      <w:r>
        <w:t xml:space="preserve">Department</w:t>
      </w:r>
      <w:r>
        <w:t xml:space="preserve"> </w:t>
      </w:r>
      <w:r>
        <w:t xml:space="preserve">of</w:t>
      </w:r>
      <w:r>
        <w:t xml:space="preserve"> </w:t>
      </w:r>
      <w:r>
        <w:t xml:space="preserve">Computer</w:t>
      </w:r>
      <w:r>
        <w:t xml:space="preserve"> </w:t>
      </w:r>
      <w:r>
        <w:t xml:space="preserve">Science</w:t>
      </w:r>
      <w:r>
        <w:t xml:space="preserve"> </w:t>
      </w:r>
      <w:r>
        <w:t xml:space="preserve">and</w:t>
      </w:r>
      <w:r>
        <w:t xml:space="preserve"> </w:t>
      </w:r>
      <w:r>
        <w:t xml:space="preserve">Engineering,</w:t>
      </w:r>
      <w:r>
        <w:t xml:space="preserve"> </w:t>
      </w:r>
      <w:r>
        <w:t xml:space="preserve">SRM</w:t>
      </w:r>
      <w:r>
        <w:t xml:space="preserve"> </w:t>
      </w:r>
      <w:r>
        <w:t xml:space="preserve">Institute</w:t>
      </w:r>
      <w:r>
        <w:t xml:space="preserve"> </w:t>
      </w:r>
      <w:r>
        <w:t xml:space="preserve">of</w:t>
      </w:r>
      <w:r>
        <w:t xml:space="preserve"> </w:t>
      </w:r>
      <w:r>
        <w:t xml:space="preserve">Science</w:t>
      </w:r>
      <w:r>
        <w:t xml:space="preserve"> </w:t>
      </w:r>
      <w:r>
        <w:t xml:space="preserve">and</w:t>
      </w:r>
      <w:r>
        <w:t xml:space="preserve"> </w:t>
      </w:r>
      <w:r>
        <w:t xml:space="preserve">Technology</w:t>
      </w:r>
    </w:p>
    <w:p>
      <w:pPr>
        <w:pStyle w:val="Date"/>
      </w:pPr>
      <w:r>
        <w:t xml:space="preserve">24</w:t>
      </w:r>
      <w:r>
        <w:t xml:space="preserve"> </w:t>
      </w:r>
      <w:r>
        <w:t xml:space="preserve">September</w:t>
      </w:r>
      <w:r>
        <w:t xml:space="preserve"> </w:t>
      </w:r>
      <w:r>
        <w:t xml:space="preserve">2026</w:t>
      </w:r>
    </w:p>
    <w:bookmarkStart w:id="20" w:name="summary"/>
    <w:p>
      <w:pPr>
        <w:pStyle w:val="Heading1"/>
      </w:pPr>
      <w:r>
        <w:t xml:space="preserve">Summary</w:t>
      </w:r>
    </w:p>
    <w:p>
      <w:pPr>
        <w:pStyle w:val="FirstParagraph"/>
      </w:pPr>
      <w:r>
        <w:t xml:space="preserve">Following your review, the paper was audited in full: format, figures, references, legal claims, and every number against the saved experimental data. The audit found</w:t>
      </w:r>
      <w:r>
        <w:t xml:space="preserve"> </w:t>
      </w:r>
      <w:r>
        <w:rPr>
          <w:bCs/>
          <w:b/>
        </w:rPr>
        <w:t xml:space="preserve">22 issues: 7 critical, 10 major and 5 minor.</w:t>
      </w:r>
      <w:r>
        <w:t xml:space="preserve"> </w:t>
      </w:r>
      <w:r>
        <w:t xml:space="preserve">Twenty-one are fixed in the revised paper. The remaining one, page size, depends on the conference’s requirements and is listed under Pending items.</w:t>
      </w:r>
    </w:p>
    <w:p>
      <w:pPr>
        <w:pStyle w:val="BodyText"/>
      </w:pPr>
      <w:r>
        <w:t xml:space="preserve">The revised paper is still six pages and compiles without errors. It now contains no bitmap fonts, so it can pass IEEE PDF eXpress. Every experimental result not listed below was recomputed from the raw data and matches exactly.</w:t>
      </w:r>
    </w:p>
    <w:tbl>
      <w:tblPr>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fill="E8EEF7" w:val="clear"/>
          </w:tcPr>
          <w:p>
            <w:pPr>
              <w:pStyle w:val="Compact"/>
              <w:jc w:val="left"/>
            </w:pPr>
            <w:r>
              <w:rPr>
                <w:b/>
                <w:sz w:val="18"/>
              </w:rPr>
              <w:t xml:space="preserve">Severity</w:t>
            </w:r>
          </w:p>
        </w:tc>
        <w:tc>
          <w:tcPr>
            <w:shd w:fill="E8EEF7" w:val="clear"/>
          </w:tcPr>
          <w:p>
            <w:pPr>
              <w:pStyle w:val="Compact"/>
              <w:jc w:val="left"/>
            </w:pPr>
            <w:r>
              <w:rPr>
                <w:b/>
                <w:sz w:val="18"/>
              </w:rPr>
              <w:t xml:space="preserve">Found</w:t>
            </w:r>
          </w:p>
        </w:tc>
        <w:tc>
          <w:tcPr>
            <w:shd w:fill="E8EEF7" w:val="clear"/>
          </w:tcPr>
          <w:p>
            <w:pPr>
              <w:pStyle w:val="Compact"/>
              <w:jc w:val="left"/>
            </w:pPr>
            <w:r>
              <w:rPr>
                <w:b/>
                <w:sz w:val="18"/>
              </w:rPr>
              <w:t xml:space="preserve">Fixed</w:t>
            </w:r>
          </w:p>
        </w:tc>
        <w:tc>
          <w:tcPr>
            <w:shd w:fill="E8EEF7" w:val="clear"/>
          </w:tcPr>
          <w:p>
            <w:pPr>
              <w:pStyle w:val="Compact"/>
              <w:jc w:val="left"/>
            </w:pPr>
            <w:r>
              <w:rPr>
                <w:b/>
                <w:sz w:val="18"/>
              </w:rPr>
              <w:t xml:space="preserve">Pending</w:t>
            </w:r>
          </w:p>
        </w:tc>
      </w:tr>
      <w:tr>
        <w:tc>
          <w:tcPr/>
          <w:p>
            <w:pPr>
              <w:pStyle w:val="Compact"/>
              <w:jc w:val="left"/>
            </w:pPr>
            <w:r>
              <w:rPr>
                <w:sz w:val="18"/>
              </w:rPr>
              <w:t xml:space="preserve">Critical</w:t>
            </w:r>
          </w:p>
        </w:tc>
        <w:tc>
          <w:tcPr/>
          <w:p>
            <w:pPr>
              <w:pStyle w:val="Compact"/>
              <w:jc w:val="left"/>
            </w:pPr>
            <w:r>
              <w:rPr>
                <w:sz w:val="18"/>
              </w:rPr>
              <w:t xml:space="preserve">7</w:t>
            </w:r>
          </w:p>
        </w:tc>
        <w:tc>
          <w:tcPr/>
          <w:p>
            <w:pPr>
              <w:pStyle w:val="Compact"/>
              <w:jc w:val="left"/>
            </w:pPr>
            <w:r>
              <w:rPr>
                <w:sz w:val="18"/>
              </w:rPr>
              <w:t xml:space="preserve">7</w:t>
            </w:r>
          </w:p>
        </w:tc>
        <w:tc>
          <w:tcPr/>
          <w:p>
            <w:pPr>
              <w:pStyle w:val="Compact"/>
              <w:jc w:val="left"/>
            </w:pPr>
            <w:r>
              <w:rPr>
                <w:sz w:val="18"/>
              </w:rPr>
              <w:t xml:space="preserve">0</w:t>
            </w:r>
          </w:p>
        </w:tc>
      </w:tr>
      <w:tr>
        <w:tc>
          <w:tcPr/>
          <w:p>
            <w:pPr>
              <w:pStyle w:val="Compact"/>
              <w:jc w:val="left"/>
            </w:pPr>
            <w:r>
              <w:rPr>
                <w:sz w:val="18"/>
              </w:rPr>
              <w:t xml:space="preserve">Major</w:t>
            </w:r>
          </w:p>
        </w:tc>
        <w:tc>
          <w:tcPr/>
          <w:p>
            <w:pPr>
              <w:pStyle w:val="Compact"/>
              <w:jc w:val="left"/>
            </w:pPr>
            <w:r>
              <w:rPr>
                <w:sz w:val="18"/>
              </w:rPr>
              <w:t xml:space="preserve">10</w:t>
            </w:r>
          </w:p>
        </w:tc>
        <w:tc>
          <w:tcPr/>
          <w:p>
            <w:pPr>
              <w:pStyle w:val="Compact"/>
              <w:jc w:val="left"/>
            </w:pPr>
            <w:r>
              <w:rPr>
                <w:sz w:val="18"/>
              </w:rPr>
              <w:t xml:space="preserve">9</w:t>
            </w:r>
          </w:p>
        </w:tc>
        <w:tc>
          <w:tcPr/>
          <w:p>
            <w:pPr>
              <w:pStyle w:val="Compact"/>
              <w:jc w:val="left"/>
            </w:pPr>
            <w:r>
              <w:rPr>
                <w:sz w:val="18"/>
              </w:rPr>
              <w:t xml:space="preserve">1</w:t>
            </w:r>
          </w:p>
        </w:tc>
      </w:tr>
      <w:tr>
        <w:tc>
          <w:tcPr/>
          <w:p>
            <w:pPr>
              <w:pStyle w:val="Compact"/>
              <w:jc w:val="left"/>
            </w:pPr>
            <w:r>
              <w:rPr>
                <w:sz w:val="18"/>
              </w:rPr>
              <w:t xml:space="preserve">Minor</w:t>
            </w:r>
          </w:p>
        </w:tc>
        <w:tc>
          <w:tcPr/>
          <w:p>
            <w:pPr>
              <w:pStyle w:val="Compact"/>
              <w:jc w:val="left"/>
            </w:pPr>
            <w:r>
              <w:rPr>
                <w:sz w:val="18"/>
              </w:rPr>
              <w:t xml:space="preserve">5</w:t>
            </w:r>
          </w:p>
        </w:tc>
        <w:tc>
          <w:tcPr/>
          <w:p>
            <w:pPr>
              <w:pStyle w:val="Compact"/>
              <w:jc w:val="left"/>
            </w:pPr>
            <w:r>
              <w:rPr>
                <w:sz w:val="18"/>
              </w:rPr>
              <w:t xml:space="preserve">5</w:t>
            </w:r>
          </w:p>
        </w:tc>
        <w:tc>
          <w:tcPr/>
          <w:p>
            <w:pPr>
              <w:pStyle w:val="Compact"/>
              <w:jc w:val="left"/>
            </w:pPr>
            <w:r>
              <w:rPr>
                <w:sz w:val="18"/>
              </w:rPr>
              <w:t xml:space="preserve">0</w:t>
            </w:r>
          </w:p>
        </w:tc>
      </w:tr>
    </w:tbl>
    <w:p>
      <w:pPr>
        <w:pStyle w:val="BodyText"/>
      </w:pPr>
      <w:r>
        <w:t xml:space="preserve">Table and figure numbers below refer to the version you reviewed. In the revised paper they are renumbered, because old Fig. 3 became a table.</w:t>
      </w:r>
    </w:p>
    <w:bookmarkEnd w:id="20"/>
    <w:bookmarkStart w:id="21" w:name="how-the-audit-was-done"/>
    <w:p>
      <w:pPr>
        <w:pStyle w:val="Heading1"/>
      </w:pPr>
      <w:r>
        <w:t xml:space="preserve">How the audit was done</w:t>
      </w:r>
    </w:p>
    <w:p>
      <w:pPr>
        <w:numPr>
          <w:ilvl w:val="0"/>
          <w:numId w:val="1001"/>
        </w:numPr>
        <w:pStyle w:val="Compact"/>
      </w:pPr>
      <w:r>
        <w:rPr>
          <w:bCs/>
          <w:b/>
        </w:rPr>
        <w:t xml:space="preserve">Data check.</w:t>
      </w:r>
      <w:r>
        <w:t xml:space="preserve"> </w:t>
      </w:r>
      <w:r>
        <w:t xml:space="preserve">Every reported number was recomputed from the saved per-fold results and experiment reports in the project repository.</w:t>
      </w:r>
    </w:p>
    <w:p>
      <w:pPr>
        <w:numPr>
          <w:ilvl w:val="0"/>
          <w:numId w:val="1001"/>
        </w:numPr>
        <w:pStyle w:val="Compact"/>
      </w:pPr>
      <w:r>
        <w:rPr>
          <w:bCs/>
          <w:b/>
        </w:rPr>
        <w:t xml:space="preserve">IEEE format check.</w:t>
      </w:r>
      <w:r>
        <w:t xml:space="preserve"> </w:t>
      </w:r>
      <w:r>
        <w:t xml:space="preserve">The PDF was checked against the IEEE conference template and PDF eXpress rules: page size, embedded fonts, float order, captions, citation order and reference style.</w:t>
      </w:r>
    </w:p>
    <w:p>
      <w:pPr>
        <w:numPr>
          <w:ilvl w:val="0"/>
          <w:numId w:val="1001"/>
        </w:numPr>
        <w:pStyle w:val="Compact"/>
      </w:pPr>
      <w:r>
        <w:rPr>
          <w:bCs/>
          <w:b/>
        </w:rPr>
        <w:t xml:space="preserve">Figure and table check.</w:t>
      </w:r>
      <w:r>
        <w:t xml:space="preserve"> </w:t>
      </w:r>
      <w:r>
        <w:t xml:space="preserve">Each page was rendered and inspected for legibility, font consistency, overlaps and placement.</w:t>
      </w:r>
    </w:p>
    <w:p>
      <w:pPr>
        <w:numPr>
          <w:ilvl w:val="0"/>
          <w:numId w:val="1001"/>
        </w:numPr>
        <w:pStyle w:val="Compact"/>
      </w:pPr>
      <w:r>
        <w:rPr>
          <w:bCs/>
          <w:b/>
        </w:rPr>
        <w:t xml:space="preserve">Claims check.</w:t>
      </w:r>
      <w:r>
        <w:t xml:space="preserve"> </w:t>
      </w:r>
      <w:r>
        <w:t xml:space="preserve">Every related-work and legal statement was compared with the cited source.</w:t>
      </w:r>
    </w:p>
    <w:bookmarkEnd w:id="21"/>
    <w:bookmarkStart w:id="22" w:name="critical-issues-all-fixed"/>
    <w:p>
      <w:pPr>
        <w:pStyle w:val="Heading1"/>
      </w:pPr>
      <w:r>
        <w:t xml:space="preserve">Critical issues (all fixed)</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fill="E8EEF7" w:val="clear"/>
          </w:tcPr>
          <w:p>
            <w:pPr>
              <w:pStyle w:val="Compact"/>
              <w:jc w:val="left"/>
            </w:pPr>
            <w:r>
              <w:rPr>
                <w:b/>
                <w:sz w:val="18"/>
              </w:rPr>
              <w:t xml:space="preserve">#</w:t>
            </w:r>
          </w:p>
        </w:tc>
        <w:tc>
          <w:tcPr>
            <w:shd w:fill="E8EEF7" w:val="clear"/>
          </w:tcPr>
          <w:p>
            <w:pPr>
              <w:pStyle w:val="Compact"/>
              <w:jc w:val="left"/>
            </w:pPr>
            <w:r>
              <w:rPr>
                <w:b/>
                <w:sz w:val="18"/>
              </w:rPr>
              <w:t xml:space="preserve">Location</w:t>
            </w:r>
          </w:p>
        </w:tc>
        <w:tc>
          <w:tcPr>
            <w:shd w:fill="E8EEF7" w:val="clear"/>
          </w:tcPr>
          <w:p>
            <w:pPr>
              <w:pStyle w:val="Compact"/>
              <w:jc w:val="left"/>
            </w:pPr>
            <w:r>
              <w:rPr>
                <w:b/>
                <w:sz w:val="18"/>
              </w:rPr>
              <w:t xml:space="preserve">Issue</w:t>
            </w:r>
          </w:p>
        </w:tc>
        <w:tc>
          <w:tcPr>
            <w:shd w:fill="E8EEF7" w:val="clear"/>
          </w:tcPr>
          <w:p>
            <w:pPr>
              <w:pStyle w:val="Compact"/>
              <w:jc w:val="left"/>
            </w:pPr>
            <w:r>
              <w:rPr>
                <w:b/>
                <w:sz w:val="18"/>
              </w:rPr>
              <w:t xml:space="preserve">Correction</w:t>
            </w:r>
          </w:p>
        </w:tc>
      </w:tr>
      <w:tr>
        <w:tc>
          <w:tcPr/>
          <w:p>
            <w:pPr>
              <w:pStyle w:val="Compact"/>
              <w:jc w:val="left"/>
            </w:pPr>
            <w:r>
              <w:rPr>
                <w:sz w:val="18"/>
              </w:rPr>
              <w:t xml:space="preserve">C1</w:t>
            </w:r>
          </w:p>
        </w:tc>
        <w:tc>
          <w:tcPr/>
          <w:p>
            <w:pPr>
              <w:pStyle w:val="Compact"/>
              <w:jc w:val="left"/>
            </w:pPr>
            <w:r>
              <w:rPr>
                <w:sz w:val="18"/>
              </w:rPr>
              <w:t xml:space="preserve">Figs. 2, 4, 5</w:t>
            </w:r>
          </w:p>
        </w:tc>
        <w:tc>
          <w:tcPr/>
          <w:p>
            <w:pPr>
              <w:pStyle w:val="Compact"/>
              <w:jc w:val="left"/>
            </w:pPr>
            <w:r>
              <w:rPr>
                <w:sz w:val="18"/>
              </w:rPr>
              <w:t xml:space="preserve">The figures were raster crops that embedded bitmap (Type 3) fonts. IEEE PDF eXpress rejects these.</w:t>
            </w:r>
          </w:p>
        </w:tc>
        <w:tc>
          <w:tcPr/>
          <w:p>
            <w:pPr>
              <w:pStyle w:val="Compact"/>
              <w:jc w:val="left"/>
            </w:pPr>
            <w:r>
              <w:rPr>
                <w:sz w:val="18"/>
              </w:rPr>
              <w:t xml:space="preserve">All three redrawn as vector graphics directly from the experimental data.</w:t>
            </w:r>
          </w:p>
        </w:tc>
      </w:tr>
      <w:tr>
        <w:tc>
          <w:tcPr/>
          <w:p>
            <w:pPr>
              <w:pStyle w:val="Compact"/>
              <w:jc w:val="left"/>
            </w:pPr>
            <w:r>
              <w:rPr>
                <w:sz w:val="18"/>
              </w:rPr>
              <w:t xml:space="preserve">C2</w:t>
            </w:r>
          </w:p>
        </w:tc>
        <w:tc>
          <w:tcPr/>
          <w:p>
            <w:pPr>
              <w:pStyle w:val="Compact"/>
              <w:jc w:val="left"/>
            </w:pPr>
            <w:r>
              <w:rPr>
                <w:sz w:val="18"/>
              </w:rPr>
              <w:t xml:space="preserve">Fig. 2</w:t>
            </w:r>
          </w:p>
        </w:tc>
        <w:tc>
          <w:tcPr/>
          <w:p>
            <w:pPr>
              <w:pStyle w:val="Compact"/>
              <w:jc w:val="left"/>
            </w:pPr>
            <w:r>
              <w:rPr>
                <w:sz w:val="18"/>
              </w:rPr>
              <w:t xml:space="preserve">Figure text was about 4 pt, below the roughly 8 pt minimum, and could not be read in print.</w:t>
            </w:r>
          </w:p>
        </w:tc>
        <w:tc>
          <w:tcPr/>
          <w:p>
            <w:pPr>
              <w:pStyle w:val="Compact"/>
              <w:jc w:val="left"/>
            </w:pPr>
            <w:r>
              <w:rPr>
                <w:sz w:val="18"/>
              </w:rPr>
              <w:t xml:space="preserve">Redrawn at column width with legible labels.</w:t>
            </w:r>
          </w:p>
        </w:tc>
      </w:tr>
      <w:tr>
        <w:tc>
          <w:tcPr/>
          <w:p>
            <w:pPr>
              <w:pStyle w:val="Compact"/>
              <w:jc w:val="left"/>
            </w:pPr>
            <w:r>
              <w:rPr>
                <w:sz w:val="18"/>
              </w:rPr>
              <w:t xml:space="preserve">C3</w:t>
            </w:r>
          </w:p>
        </w:tc>
        <w:tc>
          <w:tcPr/>
          <w:p>
            <w:pPr>
              <w:pStyle w:val="Compact"/>
              <w:jc w:val="left"/>
            </w:pPr>
            <w:r>
              <w:rPr>
                <w:sz w:val="18"/>
              </w:rPr>
              <w:t xml:space="preserve">Table IV, Sec. V-C</w:t>
            </w:r>
          </w:p>
        </w:tc>
        <w:tc>
          <w:tcPr/>
          <w:p>
            <w:pPr>
              <w:pStyle w:val="Compact"/>
              <w:jc w:val="left"/>
            </w:pPr>
            <w:r>
              <w:rPr>
                <w:sz w:val="18"/>
              </w:rPr>
              <w:t xml:space="preserve">The split-scheme experiment used all 8,000 rows without class balancing, while every other experiment uses 7,910 balanced pairs. The text did not say so.</w:t>
            </w:r>
          </w:p>
        </w:tc>
        <w:tc>
          <w:tcPr/>
          <w:p>
            <w:pPr>
              <w:pStyle w:val="Compact"/>
              <w:jc w:val="left"/>
            </w:pPr>
            <w:r>
              <w:rPr>
                <w:sz w:val="18"/>
              </w:rPr>
              <w:t xml:space="preserve">Caption and text now state the 8,000-row, class-weighted setup.</w:t>
            </w:r>
          </w:p>
        </w:tc>
      </w:tr>
      <w:tr>
        <w:tc>
          <w:tcPr/>
          <w:p>
            <w:pPr>
              <w:pStyle w:val="Compact"/>
              <w:jc w:val="left"/>
            </w:pPr>
            <w:r>
              <w:rPr>
                <w:sz w:val="18"/>
              </w:rPr>
              <w:t xml:space="preserve">C4</w:t>
            </w:r>
          </w:p>
        </w:tc>
        <w:tc>
          <w:tcPr/>
          <w:p>
            <w:pPr>
              <w:pStyle w:val="Compact"/>
              <w:jc w:val="left"/>
            </w:pPr>
            <w:r>
              <w:rPr>
                <w:sz w:val="18"/>
              </w:rPr>
              <w:t xml:space="preserve">Sec. V-B</w:t>
            </w:r>
          </w:p>
        </w:tc>
        <w:tc>
          <w:tcPr/>
          <w:p>
            <w:pPr>
              <w:pStyle w:val="Compact"/>
              <w:jc w:val="left"/>
            </w:pPr>
            <w:r>
              <w:rPr>
                <w:sz w:val="18"/>
              </w:rPr>
              <w:t xml:space="preserve">“</w:t>
            </w:r>
            <w:r>
              <w:rPr>
                <w:sz w:val="18"/>
              </w:rPr>
              <w:t xml:space="preserve">+0.041 pooled AUROC</w:t>
            </w:r>
            <w:r>
              <w:rPr>
                <w:sz w:val="18"/>
              </w:rPr>
              <w:t xml:space="preserve">”</w:t>
            </w:r>
            <w:r>
              <w:rPr>
                <w:sz w:val="18"/>
              </w:rPr>
              <w:t xml:space="preserve"> </w:t>
            </w:r>
            <w:r>
              <w:rPr>
                <w:sz w:val="18"/>
              </w:rPr>
              <w:t xml:space="preserve">compared two different models (MLP and random forest).</w:t>
            </w:r>
          </w:p>
        </w:tc>
        <w:tc>
          <w:tcPr/>
          <w:p>
            <w:pPr>
              <w:pStyle w:val="Compact"/>
              <w:jc w:val="left"/>
            </w:pPr>
            <w:r>
              <w:rPr>
                <w:sz w:val="18"/>
              </w:rPr>
              <w:t xml:space="preserve">Same-model comparison reported instead: +0.048 (0.688 to 0.737). The conclusion is unchanged and slightly stronger.</w:t>
            </w:r>
          </w:p>
        </w:tc>
      </w:tr>
      <w:tr>
        <w:tc>
          <w:tcPr/>
          <w:p>
            <w:pPr>
              <w:pStyle w:val="Compact"/>
              <w:jc w:val="left"/>
            </w:pPr>
            <w:r>
              <w:rPr>
                <w:sz w:val="18"/>
              </w:rPr>
              <w:t xml:space="preserve">C5</w:t>
            </w:r>
          </w:p>
        </w:tc>
        <w:tc>
          <w:tcPr/>
          <w:p>
            <w:pPr>
              <w:pStyle w:val="Compact"/>
              <w:jc w:val="left"/>
            </w:pPr>
            <w:r>
              <w:rPr>
                <w:sz w:val="18"/>
              </w:rPr>
              <w:t xml:space="preserve">Table VI</w:t>
            </w:r>
          </w:p>
        </w:tc>
        <w:tc>
          <w:tcPr/>
          <w:p>
            <w:pPr>
              <w:pStyle w:val="Compact"/>
              <w:jc w:val="left"/>
            </w:pPr>
            <w:r>
              <w:rPr>
                <w:sz w:val="18"/>
              </w:rPr>
              <w:t xml:space="preserve">The legal mapping overstated the law. Illinois HB 3773 does not create a right to explanation, and human oversight is EU AI Act Art. 14, not Annex III.</w:t>
            </w:r>
          </w:p>
        </w:tc>
        <w:tc>
          <w:tcPr/>
          <w:p>
            <w:pPr>
              <w:pStyle w:val="Compact"/>
              <w:jc w:val="left"/>
            </w:pPr>
            <w:r>
              <w:rPr>
                <w:sz w:val="18"/>
              </w:rPr>
              <w:t xml:space="preserve">Table now cites EU AI Act Arts. 12, 14 and 86 precisely. HB 3773 is cited only for notice and non-discrimination.</w:t>
            </w:r>
          </w:p>
        </w:tc>
      </w:tr>
      <w:tr>
        <w:tc>
          <w:tcPr/>
          <w:p>
            <w:pPr>
              <w:pStyle w:val="Compact"/>
              <w:jc w:val="left"/>
            </w:pPr>
            <w:r>
              <w:rPr>
                <w:sz w:val="18"/>
              </w:rPr>
              <w:t xml:space="preserve">C6</w:t>
            </w:r>
          </w:p>
        </w:tc>
        <w:tc>
          <w:tcPr/>
          <w:p>
            <w:pPr>
              <w:pStyle w:val="Compact"/>
              <w:jc w:val="left"/>
            </w:pPr>
            <w:r>
              <w:rPr>
                <w:sz w:val="18"/>
              </w:rPr>
              <w:t xml:space="preserve">Sec. II, ref. [12]</w:t>
            </w:r>
          </w:p>
        </w:tc>
        <w:tc>
          <w:tcPr/>
          <w:p>
            <w:pPr>
              <w:pStyle w:val="Compact"/>
              <w:jc w:val="left"/>
            </w:pPr>
            <w:r>
              <w:rPr>
                <w:sz w:val="18"/>
              </w:rPr>
              <w:t xml:space="preserve">Platt (1999) was cited for threshold calibration, which it does not address.</w:t>
            </w:r>
          </w:p>
        </w:tc>
        <w:tc>
          <w:tcPr/>
          <w:p>
            <w:pPr>
              <w:pStyle w:val="Compact"/>
              <w:jc w:val="left"/>
            </w:pPr>
            <w:r>
              <w:rPr>
                <w:sz w:val="18"/>
              </w:rPr>
              <w:t xml:space="preserve">Citation and reference removed.</w:t>
            </w:r>
          </w:p>
        </w:tc>
      </w:tr>
      <w:tr>
        <w:tc>
          <w:tcPr/>
          <w:p>
            <w:pPr>
              <w:pStyle w:val="Compact"/>
              <w:jc w:val="left"/>
            </w:pPr>
            <w:r>
              <w:rPr>
                <w:sz w:val="18"/>
              </w:rPr>
              <w:t xml:space="preserve">C7</w:t>
            </w:r>
          </w:p>
        </w:tc>
        <w:tc>
          <w:tcPr/>
          <w:p>
            <w:pPr>
              <w:pStyle w:val="Compact"/>
              <w:jc w:val="left"/>
            </w:pPr>
            <w:r>
              <w:rPr>
                <w:sz w:val="18"/>
              </w:rPr>
              <w:t xml:space="preserve">References</w:t>
            </w:r>
          </w:p>
        </w:tc>
        <w:tc>
          <w:tcPr/>
          <w:p>
            <w:pPr>
              <w:pStyle w:val="Compact"/>
              <w:jc w:val="left"/>
            </w:pPr>
            <w:r>
              <w:rPr>
                <w:sz w:val="18"/>
              </w:rPr>
              <w:t xml:space="preserve">References were not numbered in order of first citation, as IEEE requires.</w:t>
            </w:r>
          </w:p>
        </w:tc>
        <w:tc>
          <w:tcPr/>
          <w:p>
            <w:pPr>
              <w:pStyle w:val="Compact"/>
              <w:jc w:val="left"/>
            </w:pPr>
            <w:r>
              <w:rPr>
                <w:sz w:val="18"/>
              </w:rPr>
              <w:t xml:space="preserve">Renumbered in citation order.</w:t>
            </w:r>
          </w:p>
        </w:tc>
      </w:tr>
    </w:tbl>
    <w:bookmarkEnd w:id="22"/>
    <w:bookmarkStart w:id="23" w:name="major-issues"/>
    <w:p>
      <w:pPr>
        <w:pStyle w:val="Heading1"/>
      </w:pPr>
      <w:r>
        <w:t xml:space="preserve">Major issues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fill="E8EEF7" w:val="clear"/>
          </w:tcPr>
          <w:p>
            <w:pPr>
              <w:pStyle w:val="Compact"/>
              <w:jc w:val="left"/>
            </w:pPr>
            <w:r>
              <w:rPr>
                <w:b/>
                <w:sz w:val="18"/>
              </w:rPr>
              <w:t xml:space="preserve">#</w:t>
            </w:r>
          </w:p>
        </w:tc>
        <w:tc>
          <w:tcPr>
            <w:shd w:fill="E8EEF7" w:val="clear"/>
          </w:tcPr>
          <w:p>
            <w:pPr>
              <w:pStyle w:val="Compact"/>
              <w:jc w:val="left"/>
            </w:pPr>
            <w:r>
              <w:rPr>
                <w:b/>
                <w:sz w:val="18"/>
              </w:rPr>
              <w:t xml:space="preserve">Location</w:t>
            </w:r>
          </w:p>
        </w:tc>
        <w:tc>
          <w:tcPr>
            <w:shd w:fill="E8EEF7" w:val="clear"/>
          </w:tcPr>
          <w:p>
            <w:pPr>
              <w:pStyle w:val="Compact"/>
              <w:jc w:val="left"/>
            </w:pPr>
            <w:r>
              <w:rPr>
                <w:b/>
                <w:sz w:val="18"/>
              </w:rPr>
              <w:t xml:space="preserve">Issue</w:t>
            </w:r>
          </w:p>
        </w:tc>
        <w:tc>
          <w:tcPr>
            <w:shd w:fill="E8EEF7" w:val="clear"/>
          </w:tcPr>
          <w:p>
            <w:pPr>
              <w:pStyle w:val="Compact"/>
              <w:jc w:val="left"/>
            </w:pPr>
            <w:r>
              <w:rPr>
                <w:b/>
                <w:sz w:val="18"/>
              </w:rPr>
              <w:t xml:space="preserve">Correction</w:t>
            </w:r>
          </w:p>
        </w:tc>
      </w:tr>
      <w:tr>
        <w:tc>
          <w:tcPr/>
          <w:p>
            <w:pPr>
              <w:pStyle w:val="Compact"/>
              <w:jc w:val="left"/>
            </w:pPr>
            <w:r>
              <w:rPr>
                <w:sz w:val="18"/>
              </w:rPr>
              <w:t xml:space="preserve">M1</w:t>
            </w:r>
          </w:p>
        </w:tc>
        <w:tc>
          <w:tcPr/>
          <w:p>
            <w:pPr>
              <w:pStyle w:val="Compact"/>
              <w:jc w:val="left"/>
            </w:pPr>
            <w:r>
              <w:rPr>
                <w:sz w:val="18"/>
              </w:rPr>
              <w:t xml:space="preserve">Fig. 1</w:t>
            </w:r>
          </w:p>
        </w:tc>
        <w:tc>
          <w:tcPr/>
          <w:p>
            <w:pPr>
              <w:pStyle w:val="Compact"/>
              <w:jc w:val="left"/>
            </w:pPr>
            <w:r>
              <w:rPr>
                <w:sz w:val="18"/>
              </w:rPr>
              <w:t xml:space="preserve">Full-page-width figure with a panel that repeated Table I.</w:t>
            </w:r>
          </w:p>
        </w:tc>
        <w:tc>
          <w:tcPr/>
          <w:p>
            <w:pPr>
              <w:pStyle w:val="Compact"/>
              <w:jc w:val="left"/>
            </w:pPr>
            <w:r>
              <w:rPr>
                <w:sz w:val="18"/>
              </w:rPr>
              <w:t xml:space="preserve">Redrawn at single-column width.</w:t>
            </w:r>
          </w:p>
        </w:tc>
      </w:tr>
      <w:tr>
        <w:tc>
          <w:tcPr/>
          <w:p>
            <w:pPr>
              <w:pStyle w:val="Compact"/>
              <w:jc w:val="left"/>
            </w:pPr>
            <w:r>
              <w:rPr>
                <w:sz w:val="18"/>
              </w:rPr>
              <w:t xml:space="preserve">M2</w:t>
            </w:r>
          </w:p>
        </w:tc>
        <w:tc>
          <w:tcPr/>
          <w:p>
            <w:pPr>
              <w:pStyle w:val="Compact"/>
              <w:jc w:val="left"/>
            </w:pPr>
            <w:r>
              <w:rPr>
                <w:sz w:val="18"/>
              </w:rPr>
              <w:t xml:space="preserve">Fig. 3</w:t>
            </w:r>
          </w:p>
        </w:tc>
        <w:tc>
          <w:tcPr/>
          <w:p>
            <w:pPr>
              <w:pStyle w:val="Compact"/>
              <w:jc w:val="left"/>
            </w:pPr>
            <w:r>
              <w:rPr>
                <w:sz w:val="18"/>
              </w:rPr>
              <w:t xml:space="preserve">Six bars used to show one change (99.18% to 100%).</w:t>
            </w:r>
          </w:p>
        </w:tc>
        <w:tc>
          <w:tcPr/>
          <w:p>
            <w:pPr>
              <w:pStyle w:val="Compact"/>
              <w:jc w:val="left"/>
            </w:pPr>
            <w:r>
              <w:rPr>
                <w:sz w:val="18"/>
              </w:rPr>
              <w:t xml:space="preserve">Replaced by a compact results table.</w:t>
            </w:r>
          </w:p>
        </w:tc>
      </w:tr>
      <w:tr>
        <w:tc>
          <w:tcPr/>
          <w:p>
            <w:pPr>
              <w:pStyle w:val="Compact"/>
              <w:jc w:val="left"/>
            </w:pPr>
            <w:r>
              <w:rPr>
                <w:sz w:val="18"/>
              </w:rPr>
              <w:t xml:space="preserve">M3</w:t>
            </w:r>
          </w:p>
        </w:tc>
        <w:tc>
          <w:tcPr/>
          <w:p>
            <w:pPr>
              <w:pStyle w:val="Compact"/>
              <w:jc w:val="left"/>
            </w:pPr>
            <w:r>
              <w:rPr>
                <w:sz w:val="18"/>
              </w:rPr>
              <w:t xml:space="preserve">Fig. 6</w:t>
            </w:r>
          </w:p>
        </w:tc>
        <w:tc>
          <w:tcPr/>
          <w:p>
            <w:pPr>
              <w:pStyle w:val="Compact"/>
              <w:jc w:val="left"/>
            </w:pPr>
            <w:r>
              <w:rPr>
                <w:sz w:val="18"/>
              </w:rPr>
              <w:t xml:space="preserve">Labels were too small and overlapped the data points.</w:t>
            </w:r>
          </w:p>
        </w:tc>
        <w:tc>
          <w:tcPr/>
          <w:p>
            <w:pPr>
              <w:pStyle w:val="Compact"/>
              <w:jc w:val="left"/>
            </w:pPr>
            <w:r>
              <w:rPr>
                <w:sz w:val="18"/>
              </w:rPr>
              <w:t xml:space="preserve">Redrawn with readable, non-overlapping labels.</w:t>
            </w:r>
          </w:p>
        </w:tc>
      </w:tr>
      <w:tr>
        <w:tc>
          <w:tcPr/>
          <w:p>
            <w:pPr>
              <w:pStyle w:val="Compact"/>
              <w:jc w:val="left"/>
            </w:pPr>
            <w:r>
              <w:rPr>
                <w:sz w:val="18"/>
              </w:rPr>
              <w:t xml:space="preserve">M4</w:t>
            </w:r>
          </w:p>
        </w:tc>
        <w:tc>
          <w:tcPr/>
          <w:p>
            <w:pPr>
              <w:pStyle w:val="Compact"/>
              <w:jc w:val="left"/>
            </w:pPr>
            <w:r>
              <w:rPr>
                <w:sz w:val="18"/>
              </w:rPr>
              <w:t xml:space="preserve">Figs. 4, 6, Table II</w:t>
            </w:r>
          </w:p>
        </w:tc>
        <w:tc>
          <w:tcPr/>
          <w:p>
            <w:pPr>
              <w:pStyle w:val="Compact"/>
              <w:jc w:val="left"/>
            </w:pPr>
            <w:r>
              <w:rPr>
                <w:sz w:val="18"/>
              </w:rPr>
              <w:t xml:space="preserve">Model names were spelled inconsistently.</w:t>
            </w:r>
          </w:p>
        </w:tc>
        <w:tc>
          <w:tcPr/>
          <w:p>
            <w:pPr>
              <w:pStyle w:val="Compact"/>
              <w:jc w:val="left"/>
            </w:pPr>
            <w:r>
              <w:rPr>
                <w:sz w:val="18"/>
              </w:rPr>
              <w:t xml:space="preserve">One naming scheme used throughout.</w:t>
            </w:r>
          </w:p>
        </w:tc>
      </w:tr>
      <w:tr>
        <w:tc>
          <w:tcPr/>
          <w:p>
            <w:pPr>
              <w:pStyle w:val="Compact"/>
              <w:jc w:val="left"/>
            </w:pPr>
            <w:r>
              <w:rPr>
                <w:sz w:val="18"/>
              </w:rPr>
              <w:t xml:space="preserve">M5</w:t>
            </w:r>
          </w:p>
        </w:tc>
        <w:tc>
          <w:tcPr/>
          <w:p>
            <w:pPr>
              <w:pStyle w:val="Compact"/>
              <w:jc w:val="left"/>
            </w:pPr>
            <w:r>
              <w:rPr>
                <w:sz w:val="18"/>
              </w:rPr>
              <w:t xml:space="preserve">Figs. 2, 4, 5</w:t>
            </w:r>
          </w:p>
        </w:tc>
        <w:tc>
          <w:tcPr/>
          <w:p>
            <w:pPr>
              <w:pStyle w:val="Compact"/>
              <w:jc w:val="left"/>
            </w:pPr>
            <w:r>
              <w:rPr>
                <w:sz w:val="18"/>
              </w:rPr>
              <w:t xml:space="preserve">These figures used a sans-serif font; the paper uses Times.</w:t>
            </w:r>
          </w:p>
        </w:tc>
        <w:tc>
          <w:tcPr/>
          <w:p>
            <w:pPr>
              <w:pStyle w:val="Compact"/>
              <w:jc w:val="left"/>
            </w:pPr>
            <w:r>
              <w:rPr>
                <w:sz w:val="18"/>
              </w:rPr>
              <w:t xml:space="preserve">All figures now use the paper’s font.</w:t>
            </w:r>
          </w:p>
        </w:tc>
      </w:tr>
      <w:tr>
        <w:tc>
          <w:tcPr/>
          <w:p>
            <w:pPr>
              <w:pStyle w:val="Compact"/>
              <w:jc w:val="left"/>
            </w:pPr>
            <w:r>
              <w:rPr>
                <w:sz w:val="18"/>
              </w:rPr>
              <w:t xml:space="preserve">M6</w:t>
            </w:r>
          </w:p>
        </w:tc>
        <w:tc>
          <w:tcPr/>
          <w:p>
            <w:pPr>
              <w:pStyle w:val="Compact"/>
              <w:jc w:val="left"/>
            </w:pPr>
            <w:r>
              <w:rPr>
                <w:sz w:val="18"/>
              </w:rPr>
              <w:t xml:space="preserve">References</w:t>
            </w:r>
          </w:p>
        </w:tc>
        <w:tc>
          <w:tcPr/>
          <w:p>
            <w:pPr>
              <w:pStyle w:val="Compact"/>
              <w:jc w:val="left"/>
            </w:pPr>
            <w:r>
              <w:rPr>
                <w:sz w:val="18"/>
              </w:rPr>
              <w:t xml:space="preserve">The online dataset had no access date; the legal references had no official identifiers.</w:t>
            </w:r>
          </w:p>
        </w:tc>
        <w:tc>
          <w:tcPr/>
          <w:p>
            <w:pPr>
              <w:pStyle w:val="Compact"/>
              <w:jc w:val="left"/>
            </w:pPr>
            <w:r>
              <w:rPr>
                <w:sz w:val="18"/>
              </w:rPr>
              <w:t xml:space="preserve">Access date and official identifiers added.</w:t>
            </w:r>
          </w:p>
        </w:tc>
      </w:tr>
      <w:tr>
        <w:tc>
          <w:tcPr/>
          <w:p>
            <w:pPr>
              <w:pStyle w:val="Compact"/>
              <w:jc w:val="left"/>
            </w:pPr>
            <w:r>
              <w:rPr>
                <w:sz w:val="18"/>
              </w:rPr>
              <w:t xml:space="preserve">M7</w:t>
            </w:r>
          </w:p>
        </w:tc>
        <w:tc>
          <w:tcPr/>
          <w:p>
            <w:pPr>
              <w:pStyle w:val="Compact"/>
              <w:jc w:val="left"/>
            </w:pPr>
            <w:r>
              <w:rPr>
                <w:sz w:val="18"/>
              </w:rPr>
              <w:t xml:space="preserve">Sec. III, Table I</w:t>
            </w:r>
          </w:p>
        </w:tc>
        <w:tc>
          <w:tcPr/>
          <w:p>
            <w:pPr>
              <w:pStyle w:val="Compact"/>
              <w:jc w:val="left"/>
            </w:pPr>
            <w:r>
              <w:rPr>
                <w:sz w:val="18"/>
              </w:rPr>
              <w:t xml:space="preserve">Poor justification left large gaps between words.</w:t>
            </w:r>
          </w:p>
        </w:tc>
        <w:tc>
          <w:tcPr/>
          <w:p>
            <w:pPr>
              <w:pStyle w:val="Compact"/>
              <w:jc w:val="left"/>
            </w:pPr>
            <w:r>
              <w:rPr>
                <w:sz w:val="18"/>
              </w:rPr>
              <w:t xml:space="preserve">Reset as a list; table set ragged-right.</w:t>
            </w:r>
          </w:p>
        </w:tc>
      </w:tr>
      <w:tr>
        <w:tc>
          <w:tcPr/>
          <w:p>
            <w:pPr>
              <w:pStyle w:val="Compact"/>
              <w:jc w:val="left"/>
            </w:pPr>
            <w:r>
              <w:rPr>
                <w:sz w:val="18"/>
              </w:rPr>
              <w:t xml:space="preserve">M8</w:t>
            </w:r>
          </w:p>
        </w:tc>
        <w:tc>
          <w:tcPr/>
          <w:p>
            <w:pPr>
              <w:pStyle w:val="Compact"/>
              <w:jc w:val="left"/>
            </w:pPr>
            <w:r>
              <w:rPr>
                <w:sz w:val="18"/>
              </w:rPr>
              <w:t xml:space="preserve">Sec. IV-B</w:t>
            </w:r>
          </w:p>
        </w:tc>
        <w:tc>
          <w:tcPr/>
          <w:p>
            <w:pPr>
              <w:pStyle w:val="Compact"/>
              <w:jc w:val="left"/>
            </w:pPr>
            <w:r>
              <w:rPr>
                <w:sz w:val="18"/>
              </w:rPr>
              <w:t xml:space="preserve">One line ran into the margin.</w:t>
            </w:r>
          </w:p>
        </w:tc>
        <w:tc>
          <w:tcPr/>
          <w:p>
            <w:pPr>
              <w:pStyle w:val="Compact"/>
              <w:jc w:val="left"/>
            </w:pPr>
            <w:r>
              <w:rPr>
                <w:sz w:val="18"/>
              </w:rPr>
              <w:t xml:space="preserve">Fixed.</w:t>
            </w:r>
          </w:p>
        </w:tc>
      </w:tr>
      <w:tr>
        <w:tc>
          <w:tcPr/>
          <w:p>
            <w:pPr>
              <w:pStyle w:val="Compact"/>
              <w:jc w:val="left"/>
            </w:pPr>
            <w:r>
              <w:rPr>
                <w:sz w:val="18"/>
              </w:rPr>
              <w:t xml:space="preserve">M9</w:t>
            </w:r>
          </w:p>
        </w:tc>
        <w:tc>
          <w:tcPr/>
          <w:p>
            <w:pPr>
              <w:pStyle w:val="Compact"/>
              <w:jc w:val="left"/>
            </w:pPr>
            <w:r>
              <w:rPr>
                <w:sz w:val="18"/>
              </w:rPr>
              <w:t xml:space="preserve">Structure</w:t>
            </w:r>
          </w:p>
        </w:tc>
        <w:tc>
          <w:tcPr/>
          <w:p>
            <w:pPr>
              <w:pStyle w:val="Compact"/>
              <w:jc w:val="left"/>
            </w:pPr>
            <w:r>
              <w:rPr>
                <w:sz w:val="18"/>
              </w:rPr>
              <w:t xml:space="preserve">There was no Future Work.</w:t>
            </w:r>
          </w:p>
        </w:tc>
        <w:tc>
          <w:tcPr/>
          <w:p>
            <w:pPr>
              <w:pStyle w:val="Compact"/>
              <w:jc w:val="left"/>
            </w:pPr>
            <w:r>
              <w:rPr>
                <w:sz w:val="18"/>
              </w:rPr>
              <w:t xml:space="preserve">Section renamed</w:t>
            </w:r>
            <w:r>
              <w:rPr>
                <w:sz w:val="18"/>
              </w:rPr>
              <w:t xml:space="preserve"> </w:t>
            </w:r>
            <w:r>
              <w:rPr>
                <w:sz w:val="18"/>
              </w:rPr>
              <w:t xml:space="preserve">“</w:t>
            </w:r>
            <w:r>
              <w:rPr>
                <w:sz w:val="18"/>
              </w:rPr>
              <w:t xml:space="preserve">Conclusion and Future Work</w:t>
            </w:r>
            <w:r>
              <w:rPr>
                <w:sz w:val="18"/>
              </w:rPr>
              <w:t xml:space="preserve">”</w:t>
            </w:r>
            <w:r>
              <w:rPr>
                <w:sz w:val="18"/>
              </w:rPr>
              <w:t xml:space="preserve">, with three concrete next steps.</w:t>
            </w:r>
          </w:p>
        </w:tc>
      </w:tr>
      <w:tr>
        <w:tc>
          <w:tcPr/>
          <w:p>
            <w:pPr>
              <w:pStyle w:val="Compact"/>
              <w:jc w:val="left"/>
            </w:pPr>
            <w:r>
              <w:rPr>
                <w:sz w:val="18"/>
              </w:rPr>
              <w:t xml:space="preserve">M10</w:t>
            </w:r>
          </w:p>
        </w:tc>
        <w:tc>
          <w:tcPr/>
          <w:p>
            <w:pPr>
              <w:pStyle w:val="Compact"/>
              <w:jc w:val="left"/>
            </w:pPr>
            <w:r>
              <w:rPr>
                <w:sz w:val="18"/>
              </w:rPr>
              <w:t xml:space="preserve">Page size</w:t>
            </w:r>
          </w:p>
        </w:tc>
        <w:tc>
          <w:tcPr/>
          <w:p>
            <w:pPr>
              <w:pStyle w:val="Compact"/>
              <w:jc w:val="left"/>
            </w:pPr>
            <w:r>
              <w:rPr>
                <w:sz w:val="18"/>
              </w:rPr>
              <w:t xml:space="preserve">US Letter. Many IEEE conferences in India require A4.</w:t>
            </w:r>
          </w:p>
        </w:tc>
        <w:tc>
          <w:tcPr/>
          <w:p>
            <w:pPr>
              <w:pStyle w:val="Compact"/>
              <w:jc w:val="left"/>
            </w:pPr>
            <w:r>
              <w:rPr>
                <w:bCs/>
                <w:b/>
                <w:sz w:val="18"/>
              </w:rPr>
              <w:t xml:space="preserve">Pending:</w:t>
            </w:r>
            <w:r>
              <w:rPr>
                <w:sz w:val="18"/>
              </w:rPr>
              <w:t xml:space="preserve"> </w:t>
            </w:r>
            <w:r>
              <w:rPr>
                <w:sz w:val="18"/>
              </w:rPr>
              <w:t xml:space="preserve">to be set once the conference requirement is confirmed.</w:t>
            </w:r>
          </w:p>
        </w:tc>
      </w:tr>
    </w:tbl>
    <w:bookmarkEnd w:id="23"/>
    <w:bookmarkStart w:id="24" w:name="minor-issues-all-fixed"/>
    <w:p>
      <w:pPr>
        <w:pStyle w:val="Heading1"/>
      </w:pPr>
      <w:r>
        <w:t xml:space="preserve">Minor issues (all fixed)</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fill="E8EEF7" w:val="clear"/>
          </w:tcPr>
          <w:p>
            <w:pPr>
              <w:pStyle w:val="Compact"/>
              <w:jc w:val="left"/>
            </w:pPr>
            <w:r>
              <w:rPr>
                <w:b/>
                <w:sz w:val="18"/>
              </w:rPr>
              <w:t xml:space="preserve">#</w:t>
            </w:r>
          </w:p>
        </w:tc>
        <w:tc>
          <w:tcPr>
            <w:shd w:fill="E8EEF7" w:val="clear"/>
          </w:tcPr>
          <w:p>
            <w:pPr>
              <w:pStyle w:val="Compact"/>
              <w:jc w:val="left"/>
            </w:pPr>
            <w:r>
              <w:rPr>
                <w:b/>
                <w:sz w:val="18"/>
              </w:rPr>
              <w:t xml:space="preserve">Location</w:t>
            </w:r>
          </w:p>
        </w:tc>
        <w:tc>
          <w:tcPr>
            <w:shd w:fill="E8EEF7" w:val="clear"/>
          </w:tcPr>
          <w:p>
            <w:pPr>
              <w:pStyle w:val="Compact"/>
              <w:jc w:val="left"/>
            </w:pPr>
            <w:r>
              <w:rPr>
                <w:b/>
                <w:sz w:val="18"/>
              </w:rPr>
              <w:t xml:space="preserve">Issue</w:t>
            </w:r>
          </w:p>
        </w:tc>
        <w:tc>
          <w:tcPr>
            <w:shd w:fill="E8EEF7" w:val="clear"/>
          </w:tcPr>
          <w:p>
            <w:pPr>
              <w:pStyle w:val="Compact"/>
              <w:jc w:val="left"/>
            </w:pPr>
            <w:r>
              <w:rPr>
                <w:b/>
                <w:sz w:val="18"/>
              </w:rPr>
              <w:t xml:space="preserve">Correction</w:t>
            </w:r>
          </w:p>
        </w:tc>
      </w:tr>
      <w:tr>
        <w:tc>
          <w:tcPr/>
          <w:p>
            <w:pPr>
              <w:pStyle w:val="Compact"/>
              <w:jc w:val="left"/>
            </w:pPr>
            <w:r>
              <w:rPr>
                <w:sz w:val="18"/>
              </w:rPr>
              <w:t xml:space="preserve">m1</w:t>
            </w:r>
          </w:p>
        </w:tc>
        <w:tc>
          <w:tcPr/>
          <w:p>
            <w:pPr>
              <w:pStyle w:val="Compact"/>
              <w:jc w:val="left"/>
            </w:pPr>
            <w:r>
              <w:rPr>
                <w:sz w:val="18"/>
              </w:rPr>
              <w:t xml:space="preserve">Table V</w:t>
            </w:r>
          </w:p>
        </w:tc>
        <w:tc>
          <w:tcPr/>
          <w:p>
            <w:pPr>
              <w:pStyle w:val="Compact"/>
              <w:jc w:val="left"/>
            </w:pPr>
            <w:r>
              <w:rPr>
                <w:sz w:val="18"/>
              </w:rPr>
              <w:t xml:space="preserve">An empty AUC cell (</w:t>
            </w:r>
            <w:r>
              <w:rPr>
                <w:sz w:val="18"/>
              </w:rPr>
              <w:t xml:space="preserve">“</w:t>
            </w:r>
            <w:r>
              <w:rPr>
                <w:sz w:val="18"/>
              </w:rPr>
              <w:t xml:space="preserve">—</w:t>
            </w:r>
            <w:r>
              <w:rPr>
                <w:sz w:val="18"/>
              </w:rPr>
              <w:t xml:space="preserve">”</w:t>
            </w:r>
            <w:r>
              <w:rPr>
                <w:sz w:val="18"/>
              </w:rPr>
              <w:t xml:space="preserve">) looked like missing data.</w:t>
            </w:r>
          </w:p>
        </w:tc>
        <w:tc>
          <w:tcPr/>
          <w:p>
            <w:pPr>
              <w:pStyle w:val="Compact"/>
              <w:jc w:val="left"/>
            </w:pPr>
            <w:r>
              <w:rPr>
                <w:sz w:val="18"/>
              </w:rPr>
              <w:t xml:space="preserve">The threshold-independent AUC (0.9785) is now stated once in the text.</w:t>
            </w:r>
          </w:p>
        </w:tc>
      </w:tr>
      <w:tr>
        <w:tc>
          <w:tcPr/>
          <w:p>
            <w:pPr>
              <w:pStyle w:val="Compact"/>
              <w:jc w:val="left"/>
            </w:pPr>
            <w:r>
              <w:rPr>
                <w:sz w:val="18"/>
              </w:rPr>
              <w:t xml:space="preserve">m2</w:t>
            </w:r>
          </w:p>
        </w:tc>
        <w:tc>
          <w:tcPr/>
          <w:p>
            <w:pPr>
              <w:pStyle w:val="Compact"/>
              <w:jc w:val="left"/>
            </w:pPr>
            <w:r>
              <w:rPr>
                <w:sz w:val="18"/>
              </w:rPr>
              <w:t xml:space="preserve">Sec. V-B</w:t>
            </w:r>
          </w:p>
        </w:tc>
        <w:tc>
          <w:tcPr/>
          <w:p>
            <w:pPr>
              <w:pStyle w:val="Compact"/>
              <w:jc w:val="left"/>
            </w:pPr>
            <w:r>
              <w:rPr>
                <w:sz w:val="18"/>
              </w:rPr>
              <w:t xml:space="preserve">“</w:t>
            </w:r>
            <w:r>
              <w:rPr>
                <w:sz w:val="18"/>
              </w:rPr>
              <w:t xml:space="preserve">p = 0.445</w:t>
            </w:r>
            <w:r>
              <w:rPr>
                <w:sz w:val="18"/>
              </w:rPr>
              <w:t xml:space="preserve">”</w:t>
            </w:r>
            <w:r>
              <w:rPr>
                <w:sz w:val="18"/>
              </w:rPr>
              <w:t xml:space="preserve"> </w:t>
            </w:r>
            <w:r>
              <w:rPr>
                <w:sz w:val="18"/>
              </w:rPr>
              <w:t xml:space="preserve">could not be reproduced exactly from the per-fold data.</w:t>
            </w:r>
          </w:p>
        </w:tc>
        <w:tc>
          <w:tcPr/>
          <w:p>
            <w:pPr>
              <w:pStyle w:val="Compact"/>
              <w:jc w:val="left"/>
            </w:pPr>
            <w:r>
              <w:rPr>
                <w:sz w:val="18"/>
              </w:rPr>
              <w:t xml:space="preserve">Reported as p &gt; 0.4; the conclusion is unchanged.</w:t>
            </w:r>
          </w:p>
        </w:tc>
      </w:tr>
      <w:tr>
        <w:tc>
          <w:tcPr/>
          <w:p>
            <w:pPr>
              <w:pStyle w:val="Compact"/>
              <w:jc w:val="left"/>
            </w:pPr>
            <w:r>
              <w:rPr>
                <w:sz w:val="18"/>
              </w:rPr>
              <w:t xml:space="preserve">m3</w:t>
            </w:r>
          </w:p>
        </w:tc>
        <w:tc>
          <w:tcPr/>
          <w:p>
            <w:pPr>
              <w:pStyle w:val="Compact"/>
              <w:jc w:val="left"/>
            </w:pPr>
            <w:r>
              <w:rPr>
                <w:sz w:val="18"/>
              </w:rPr>
              <w:t xml:space="preserve">Table II caption</w:t>
            </w:r>
          </w:p>
        </w:tc>
        <w:tc>
          <w:tcPr/>
          <w:p>
            <w:pPr>
              <w:pStyle w:val="Compact"/>
              <w:jc w:val="left"/>
            </w:pPr>
            <w:r>
              <w:rPr>
                <w:sz w:val="18"/>
              </w:rPr>
              <w:t xml:space="preserve">Monospace text inside a small-caps caption.</w:t>
            </w:r>
          </w:p>
        </w:tc>
        <w:tc>
          <w:tcPr/>
          <w:p>
            <w:pPr>
              <w:pStyle w:val="Compact"/>
              <w:jc w:val="left"/>
            </w:pPr>
            <w:r>
              <w:rPr>
                <w:sz w:val="18"/>
              </w:rPr>
              <w:t xml:space="preserve">Plain caption text.</w:t>
            </w:r>
          </w:p>
        </w:tc>
      </w:tr>
      <w:tr>
        <w:tc>
          <w:tcPr/>
          <w:p>
            <w:pPr>
              <w:pStyle w:val="Compact"/>
              <w:jc w:val="left"/>
            </w:pPr>
            <w:r>
              <w:rPr>
                <w:sz w:val="18"/>
              </w:rPr>
              <w:t xml:space="preserve">m4</w:t>
            </w:r>
          </w:p>
        </w:tc>
        <w:tc>
          <w:tcPr/>
          <w:p>
            <w:pPr>
              <w:pStyle w:val="Compact"/>
              <w:jc w:val="left"/>
            </w:pPr>
            <w:r>
              <w:rPr>
                <w:sz w:val="18"/>
              </w:rPr>
              <w:t xml:space="preserve">Table VI</w:t>
            </w:r>
          </w:p>
        </w:tc>
        <w:tc>
          <w:tcPr/>
          <w:p>
            <w:pPr>
              <w:pStyle w:val="Compact"/>
              <w:jc w:val="left"/>
            </w:pPr>
            <w:r>
              <w:rPr>
                <w:sz w:val="18"/>
              </w:rPr>
              <w:t xml:space="preserve">A vague</w:t>
            </w:r>
            <w:r>
              <w:rPr>
                <w:sz w:val="18"/>
              </w:rPr>
              <w:t xml:space="preserve"> </w:t>
            </w:r>
            <w:r>
              <w:rPr>
                <w:sz w:val="18"/>
              </w:rPr>
              <w:t xml:space="preserve">“</w:t>
            </w:r>
            <w:r>
              <w:rPr>
                <w:sz w:val="18"/>
              </w:rPr>
              <w:t xml:space="preserve">All</w:t>
            </w:r>
            <w:r>
              <w:rPr>
                <w:sz w:val="18"/>
              </w:rPr>
              <w:t xml:space="preserve">”</w:t>
            </w:r>
            <w:r>
              <w:rPr>
                <w:sz w:val="18"/>
              </w:rPr>
              <w:t xml:space="preserve"> </w:t>
            </w:r>
            <w:r>
              <w:rPr>
                <w:sz w:val="18"/>
              </w:rPr>
              <w:t xml:space="preserve">in the instrument column.</w:t>
            </w:r>
          </w:p>
        </w:tc>
        <w:tc>
          <w:tcPr/>
          <w:p>
            <w:pPr>
              <w:pStyle w:val="Compact"/>
              <w:jc w:val="left"/>
            </w:pPr>
            <w:r>
              <w:rPr>
                <w:sz w:val="18"/>
              </w:rPr>
              <w:t xml:space="preserve">Specific instrument named.</w:t>
            </w:r>
          </w:p>
        </w:tc>
      </w:tr>
      <w:tr>
        <w:tc>
          <w:tcPr/>
          <w:p>
            <w:pPr>
              <w:pStyle w:val="Compact"/>
              <w:jc w:val="left"/>
            </w:pPr>
            <w:r>
              <w:rPr>
                <w:sz w:val="18"/>
              </w:rPr>
              <w:t xml:space="preserve">m5</w:t>
            </w:r>
          </w:p>
        </w:tc>
        <w:tc>
          <w:tcPr/>
          <w:p>
            <w:pPr>
              <w:pStyle w:val="Compact"/>
              <w:jc w:val="left"/>
            </w:pPr>
            <w:r>
              <w:rPr>
                <w:sz w:val="18"/>
              </w:rPr>
              <w:t xml:space="preserve">Sec. VI</w:t>
            </w:r>
          </w:p>
        </w:tc>
        <w:tc>
          <w:tcPr/>
          <w:p>
            <w:pPr>
              <w:pStyle w:val="Compact"/>
              <w:jc w:val="left"/>
            </w:pPr>
            <w:r>
              <w:rPr>
                <w:sz w:val="18"/>
              </w:rPr>
              <w:t xml:space="preserve">“</w:t>
            </w:r>
            <w:r>
              <w:rPr>
                <w:sz w:val="18"/>
              </w:rPr>
              <w:t xml:space="preserve">ArcFace</w:t>
            </w:r>
            <w:r>
              <w:rPr>
                <w:sz w:val="18"/>
              </w:rPr>
              <w:t xml:space="preserve">”</w:t>
            </w:r>
            <w:r>
              <w:rPr>
                <w:sz w:val="18"/>
              </w:rPr>
              <w:t xml:space="preserve"> </w:t>
            </w:r>
            <w:r>
              <w:rPr>
                <w:sz w:val="18"/>
              </w:rPr>
              <w:t xml:space="preserve">was hyphenated across a line break.</w:t>
            </w:r>
          </w:p>
        </w:tc>
        <w:tc>
          <w:tcPr/>
          <w:p>
            <w:pPr>
              <w:pStyle w:val="Compact"/>
              <w:jc w:val="left"/>
            </w:pPr>
            <w:r>
              <w:rPr>
                <w:sz w:val="18"/>
              </w:rPr>
              <w:t xml:space="preserve">Hyphenation blocked.</w:t>
            </w:r>
          </w:p>
        </w:tc>
      </w:tr>
    </w:tbl>
    <w:bookmarkEnd w:id="24"/>
    <w:bookmarkStart w:id="25" w:name="results-verified-as-correct"/>
    <w:p>
      <w:pPr>
        <w:pStyle w:val="Heading1"/>
      </w:pPr>
      <w:r>
        <w:t xml:space="preserve">Results verified as correct</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fill="E8EEF7" w:val="clear"/>
          </w:tcPr>
          <w:p>
            <w:pPr>
              <w:pStyle w:val="Compact"/>
              <w:jc w:val="left"/>
            </w:pPr>
            <w:r>
              <w:rPr>
                <w:b/>
                <w:sz w:val="18"/>
              </w:rPr>
              <w:t xml:space="preserve">Result</w:t>
            </w:r>
          </w:p>
        </w:tc>
        <w:tc>
          <w:tcPr>
            <w:shd w:fill="E8EEF7" w:val="clear"/>
          </w:tcPr>
          <w:p>
            <w:pPr>
              <w:pStyle w:val="Compact"/>
              <w:jc w:val="left"/>
            </w:pPr>
            <w:r>
              <w:rPr>
                <w:b/>
                <w:sz w:val="18"/>
              </w:rPr>
              <w:t xml:space="preserve">Source data</w:t>
            </w:r>
          </w:p>
        </w:tc>
        <w:tc>
          <w:tcPr>
            <w:shd w:fill="E8EEF7" w:val="clear"/>
          </w:tcPr>
          <w:p>
            <w:pPr>
              <w:pStyle w:val="Compact"/>
              <w:jc w:val="left"/>
            </w:pPr>
            <w:r>
              <w:rPr>
                <w:b/>
                <w:sz w:val="18"/>
              </w:rPr>
              <w:t xml:space="preserve">Status</w:t>
            </w:r>
          </w:p>
        </w:tc>
      </w:tr>
      <w:tr>
        <w:tc>
          <w:tcPr/>
          <w:p>
            <w:pPr>
              <w:pStyle w:val="Compact"/>
              <w:jc w:val="left"/>
            </w:pPr>
            <w:r>
              <w:rPr>
                <w:sz w:val="18"/>
              </w:rPr>
              <w:t xml:space="preserve">All nine-classifier AUROC, ECE, latency and size values</w:t>
            </w:r>
          </w:p>
        </w:tc>
        <w:tc>
          <w:tcPr/>
          <w:p>
            <w:pPr>
              <w:pStyle w:val="Compact"/>
              <w:jc w:val="left"/>
            </w:pPr>
            <w:r>
              <w:rPr>
                <w:sz w:val="18"/>
              </w:rPr>
              <w:t xml:space="preserve">Per-fold benchmark results</w:t>
            </w:r>
          </w:p>
        </w:tc>
        <w:tc>
          <w:tcPr/>
          <w:p>
            <w:pPr>
              <w:pStyle w:val="Compact"/>
              <w:jc w:val="left"/>
            </w:pPr>
            <w:r>
              <w:rPr>
                <w:sz w:val="18"/>
              </w:rPr>
              <w:t xml:space="preserve">Exact match</w:t>
            </w:r>
          </w:p>
        </w:tc>
      </w:tr>
      <w:tr>
        <w:tc>
          <w:tcPr/>
          <w:p>
            <w:pPr>
              <w:pStyle w:val="Compact"/>
              <w:jc w:val="left"/>
            </w:pPr>
            <w:r>
              <w:rPr>
                <w:sz w:val="18"/>
              </w:rPr>
              <w:t xml:space="preserve">Friedman and Holm-corrected Wilcoxon tests</w:t>
            </w:r>
          </w:p>
        </w:tc>
        <w:tc>
          <w:tcPr/>
          <w:p>
            <w:pPr>
              <w:pStyle w:val="Compact"/>
              <w:jc w:val="left"/>
            </w:pPr>
            <w:r>
              <w:rPr>
                <w:sz w:val="18"/>
              </w:rPr>
              <w:t xml:space="preserve">Benchmark report</w:t>
            </w:r>
          </w:p>
        </w:tc>
        <w:tc>
          <w:tcPr/>
          <w:p>
            <w:pPr>
              <w:pStyle w:val="Compact"/>
              <w:jc w:val="left"/>
            </w:pPr>
            <w:r>
              <w:rPr>
                <w:sz w:val="18"/>
              </w:rPr>
              <w:t xml:space="preserve">Exact match</w:t>
            </w:r>
          </w:p>
        </w:tc>
      </w:tr>
      <w:tr>
        <w:tc>
          <w:tcPr/>
          <w:p>
            <w:pPr>
              <w:pStyle w:val="Compact"/>
              <w:jc w:val="left"/>
            </w:pPr>
            <w:r>
              <w:rPr>
                <w:sz w:val="18"/>
              </w:rPr>
              <w:t xml:space="preserve">Synthetic positive control (χ² = 55.42, Bayes-optimal 0.925)</w:t>
            </w:r>
          </w:p>
        </w:tc>
        <w:tc>
          <w:tcPr/>
          <w:p>
            <w:pPr>
              <w:pStyle w:val="Compact"/>
              <w:jc w:val="left"/>
            </w:pPr>
            <w:r>
              <w:rPr>
                <w:sz w:val="18"/>
              </w:rPr>
              <w:t xml:space="preserve">Synthetic benchmark report</w:t>
            </w:r>
          </w:p>
        </w:tc>
        <w:tc>
          <w:tcPr/>
          <w:p>
            <w:pPr>
              <w:pStyle w:val="Compact"/>
              <w:jc w:val="left"/>
            </w:pPr>
            <w:r>
              <w:rPr>
                <w:sz w:val="18"/>
              </w:rPr>
              <w:t xml:space="preserve">Exact match</w:t>
            </w:r>
          </w:p>
        </w:tc>
      </w:tr>
      <w:tr>
        <w:tc>
          <w:tcPr/>
          <w:p>
            <w:pPr>
              <w:pStyle w:val="Compact"/>
              <w:jc w:val="left"/>
            </w:pPr>
            <w:r>
              <w:rPr>
                <w:sz w:val="18"/>
              </w:rPr>
              <w:t xml:space="preserve">Tuning gain of at most 0.0077 AUROC</w:t>
            </w:r>
          </w:p>
        </w:tc>
        <w:tc>
          <w:tcPr/>
          <w:p>
            <w:pPr>
              <w:pStyle w:val="Compact"/>
              <w:jc w:val="left"/>
            </w:pPr>
            <w:r>
              <w:rPr>
                <w:sz w:val="18"/>
              </w:rPr>
              <w:t xml:space="preserve">Tuning report</w:t>
            </w:r>
          </w:p>
        </w:tc>
        <w:tc>
          <w:tcPr/>
          <w:p>
            <w:pPr>
              <w:pStyle w:val="Compact"/>
              <w:jc w:val="left"/>
            </w:pPr>
            <w:r>
              <w:rPr>
                <w:sz w:val="18"/>
              </w:rPr>
              <w:t xml:space="preserve">Exact match</w:t>
            </w:r>
          </w:p>
        </w:tc>
      </w:tr>
      <w:tr>
        <w:tc>
          <w:tcPr/>
          <w:p>
            <w:pPr>
              <w:pStyle w:val="Compact"/>
              <w:jc w:val="left"/>
            </w:pPr>
            <w:r>
              <w:rPr>
                <w:sz w:val="18"/>
              </w:rPr>
              <w:t xml:space="preserve">Representation ablation (0.660, 0.755, 87%) and learning curve</w:t>
            </w:r>
          </w:p>
        </w:tc>
        <w:tc>
          <w:tcPr/>
          <w:p>
            <w:pPr>
              <w:pStyle w:val="Compact"/>
              <w:jc w:val="left"/>
            </w:pPr>
            <w:r>
              <w:rPr>
                <w:sz w:val="18"/>
              </w:rPr>
              <w:t xml:space="preserve">Ablation report</w:t>
            </w:r>
          </w:p>
        </w:tc>
        <w:tc>
          <w:tcPr/>
          <w:p>
            <w:pPr>
              <w:pStyle w:val="Compact"/>
              <w:jc w:val="left"/>
            </w:pPr>
            <w:r>
              <w:rPr>
                <w:sz w:val="18"/>
              </w:rPr>
              <w:t xml:space="preserve">Exact match</w:t>
            </w:r>
          </w:p>
        </w:tc>
      </w:tr>
      <w:tr>
        <w:tc>
          <w:tcPr/>
          <w:p>
            <w:pPr>
              <w:pStyle w:val="Compact"/>
              <w:jc w:val="left"/>
            </w:pPr>
            <w:r>
              <w:rPr>
                <w:sz w:val="18"/>
              </w:rPr>
              <w:t xml:space="preserve">80.6% within-résumé variance and pairwise accuracies</w:t>
            </w:r>
          </w:p>
        </w:tc>
        <w:tc>
          <w:tcPr/>
          <w:p>
            <w:pPr>
              <w:pStyle w:val="Compact"/>
              <w:jc w:val="left"/>
            </w:pPr>
            <w:r>
              <w:rPr>
                <w:sz w:val="18"/>
              </w:rPr>
              <w:t xml:space="preserve">Matching-isolation report</w:t>
            </w:r>
          </w:p>
        </w:tc>
        <w:tc>
          <w:tcPr/>
          <w:p>
            <w:pPr>
              <w:pStyle w:val="Compact"/>
              <w:jc w:val="left"/>
            </w:pPr>
            <w:r>
              <w:rPr>
                <w:sz w:val="18"/>
              </w:rPr>
              <w:t xml:space="preserve">Exact match</w:t>
            </w:r>
          </w:p>
        </w:tc>
      </w:tr>
      <w:tr>
        <w:tc>
          <w:tcPr/>
          <w:p>
            <w:pPr>
              <w:pStyle w:val="Compact"/>
              <w:jc w:val="left"/>
            </w:pPr>
            <w:r>
              <w:rPr>
                <w:sz w:val="18"/>
              </w:rPr>
              <w:t xml:space="preserve">Face threshold 0.1266, FAR 0.030, FRR 0.034</w:t>
            </w:r>
          </w:p>
        </w:tc>
        <w:tc>
          <w:tcPr/>
          <w:p>
            <w:pPr>
              <w:pStyle w:val="Compact"/>
              <w:jc w:val="left"/>
            </w:pPr>
            <w:r>
              <w:rPr>
                <w:sz w:val="18"/>
              </w:rPr>
              <w:t xml:space="preserve">Face calibration report</w:t>
            </w:r>
          </w:p>
        </w:tc>
        <w:tc>
          <w:tcPr/>
          <w:p>
            <w:pPr>
              <w:pStyle w:val="Compact"/>
              <w:jc w:val="left"/>
            </w:pPr>
            <w:r>
              <w:rPr>
                <w:sz w:val="18"/>
              </w:rPr>
              <w:t xml:space="preserve">Exact match</w:t>
            </w:r>
          </w:p>
        </w:tc>
      </w:tr>
      <w:tr>
        <w:tc>
          <w:tcPr/>
          <w:p>
            <w:pPr>
              <w:pStyle w:val="Compact"/>
              <w:jc w:val="left"/>
            </w:pPr>
            <w:r>
              <w:rPr>
                <w:sz w:val="18"/>
              </w:rPr>
              <w:t xml:space="preserve">Grounding gate: 425 of 51,761 = 0.82%</w:t>
            </w:r>
          </w:p>
        </w:tc>
        <w:tc>
          <w:tcPr/>
          <w:p>
            <w:pPr>
              <w:pStyle w:val="Compact"/>
              <w:jc w:val="left"/>
            </w:pPr>
            <w:r>
              <w:rPr>
                <w:sz w:val="18"/>
              </w:rPr>
              <w:t xml:space="preserve">Arithmetic</w:t>
            </w:r>
          </w:p>
        </w:tc>
        <w:tc>
          <w:tcPr/>
          <w:p>
            <w:pPr>
              <w:pStyle w:val="Compact"/>
              <w:jc w:val="left"/>
            </w:pPr>
            <w:r>
              <w:rPr>
                <w:sz w:val="18"/>
              </w:rPr>
              <w:t xml:space="preserve">Exact match</w:t>
            </w:r>
          </w:p>
        </w:tc>
      </w:tr>
    </w:tbl>
    <w:p>
      <w:pPr>
        <w:pStyle w:val="BodyText"/>
      </w:pPr>
      <w:r>
        <w:t xml:space="preserve">All 14 academic references were checked for authors, venue, volume and pages.</w:t>
      </w:r>
    </w:p>
    <w:bookmarkEnd w:id="25"/>
    <w:bookmarkStart w:id="26" w:name="pending-items"/>
    <w:p>
      <w:pPr>
        <w:pStyle w:val="Heading1"/>
      </w:pPr>
      <w:r>
        <w:t xml:space="preserve">Pending items</w:t>
      </w:r>
    </w:p>
    <w:p>
      <w:pPr>
        <w:numPr>
          <w:ilvl w:val="0"/>
          <w:numId w:val="1002"/>
        </w:numPr>
        <w:pStyle w:val="Compact"/>
      </w:pPr>
      <w:r>
        <w:t xml:space="preserve">Confirm the conference’s required page size (A4 or US Letter).</w:t>
      </w:r>
    </w:p>
    <w:p>
      <w:pPr>
        <w:numPr>
          <w:ilvl w:val="0"/>
          <w:numId w:val="1002"/>
        </w:numPr>
        <w:pStyle w:val="Compact"/>
      </w:pPr>
      <w:r>
        <w:t xml:space="preserve">Confirm the dataset access date in reference [12].</w:t>
      </w:r>
    </w:p>
    <w:p>
      <w:pPr>
        <w:numPr>
          <w:ilvl w:val="0"/>
          <w:numId w:val="1002"/>
        </w:numPr>
        <w:pStyle w:val="Compact"/>
      </w:pPr>
      <w:r>
        <w:t xml:space="preserve">Add a public repository link to the Data Availability statement, if the code is to be released.</w:t>
      </w:r>
    </w:p>
    <w:bookmarkEnd w:id="26"/>
    <w:sect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CogniHire IEEE Paper — Revision Report</dc:title>
  <dc:creator>Devesh S V, Department of Computer Science and Engineering, SRM Institute of Science and Technology</dc:creator>
  <cp:keywords/>
  <dcterms:created xsi:type="dcterms:W3CDTF">2026-09-24T07:28:58Z</dcterms:created>
  <dcterms:modified xsi:type="dcterms:W3CDTF">2026-09-24T07:28:58Z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September 2026</vt:lpwstr>
  </property>
  <property fmtid="{D5CDD505-2E9C-101B-9397-08002B2CF9AE}" pid="3" name="subtitle">
    <vt:lpwstr>Response to review comments</vt:lpwstr>
  </property>
</Properties>
</file>