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i w:val="0"/>
          <w:color w:val="2E74B5"/>
          <w:sz w:val="20"/>
        </w:rPr>
        <w:t>MILESTONE 1</w:t>
      </w:r>
    </w:p>
    <w:p>
      <w:pPr>
        <w:spacing w:before="0" w:after="80"/>
      </w:pPr>
      <w:r>
        <w:rPr>
          <w:rFonts w:ascii="Calibri" w:hAnsi="Calibri" w:eastAsia="Calibri"/>
          <w:b/>
          <w:i w:val="0"/>
          <w:color w:val="1F4D78"/>
          <w:sz w:val="50"/>
        </w:rPr>
        <w:t>Gossip Training over AXL</w:t>
      </w:r>
    </w:p>
    <w:p>
      <w:pPr>
        <w:spacing w:after="240"/>
      </w:pPr>
      <w:r>
        <w:rPr>
          <w:rFonts w:ascii="Calibri" w:hAnsi="Calibri" w:eastAsia="Calibri"/>
          <w:b w:val="0"/>
          <w:i w:val="0"/>
          <w:color w:val="5B6573"/>
          <w:sz w:val="26"/>
        </w:rPr>
        <w:t>Four-node decentralized parallel SGD on CIFAR-10 / ResNet-32</w:t>
      </w:r>
    </w:p>
    <w:tbl>
      <w:tblPr>
        <w:tblStyle w:val="TableGrid"/>
        <w:tblW w:type="dxa" w:w="9360"/>
        <w:tblLayout w:type="fixed"/>
        <w:tblLook w:firstColumn="1" w:firstRow="1" w:lastColumn="0" w:lastRow="0" w:noHBand="0" w:noVBand="1" w:val="04A0"/>
        <w:jc w:val="center"/>
        <w:tblInd w:w="120" w:type="dxa"/>
      </w:tblPr>
      <w:tblGrid>
        <w:gridCol w:w="1500"/>
        <w:gridCol w:w="7860"/>
      </w:tblGrid>
      <w:tr>
        <w:trPr>
          <w:tblHeader w:val="true"/>
        </w:trPr>
        <w:tc>
          <w:tcPr>
            <w:tcW w:type="dxa" w:w="15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Field</w:t>
            </w:r>
          </w:p>
        </w:tc>
        <w:tc>
          <w:tcPr>
            <w:tcW w:type="dxa" w:w="78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Value</w:t>
            </w:r>
          </w:p>
        </w:tc>
      </w:tr>
      <w:tr>
        <w:tc>
          <w:tcPr>
            <w:tcW w:type="dxa" w:w="15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To</w:t>
            </w:r>
          </w:p>
        </w:tc>
        <w:tc>
          <w:tcPr>
            <w:tcW w:type="dxa" w:w="78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Gensyn team</w:t>
            </w:r>
          </w:p>
        </w:tc>
      </w:tr>
      <w:tr>
        <w:tc>
          <w:tcPr>
            <w:tcW w:type="dxa" w:w="15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From</w:t>
            </w:r>
          </w:p>
        </w:tc>
        <w:tc>
          <w:tcPr>
            <w:tcW w:type="dxa" w:w="78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Dromeus</w:t>
            </w:r>
          </w:p>
        </w:tc>
      </w:tr>
      <w:tr>
        <w:tc>
          <w:tcPr>
            <w:tcW w:type="dxa" w:w="15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Date</w:t>
            </w:r>
          </w:p>
        </w:tc>
        <w:tc>
          <w:tcPr>
            <w:tcW w:type="dxa" w:w="78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31 July 2026</w:t>
            </w:r>
          </w:p>
        </w:tc>
      </w:tr>
      <w:tr>
        <w:tc>
          <w:tcPr>
            <w:tcW w:type="dxa" w:w="15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Status</w:t>
            </w:r>
          </w:p>
        </w:tc>
        <w:tc>
          <w:tcPr>
            <w:tcW w:type="dxa" w:w="78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PASS. Benchmark and evidence package complete</w:t>
            </w:r>
          </w:p>
        </w:tc>
      </w:tr>
      <w:tr>
        <w:tc>
          <w:tcPr>
            <w:tcW w:type="dxa" w:w="15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Release</w:t>
            </w:r>
          </w:p>
        </w:tc>
        <w:tc>
          <w:tcPr>
            <w:tcW w:type="dxa" w:w="78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v0.1.0 published with benchmark assets</w:t>
            </w:r>
          </w:p>
        </w:tc>
      </w:tr>
    </w:tbl>
    <w:p>
      <w:pPr>
        <w:spacing w:after="20"/>
      </w:pPr>
    </w:p>
    <w:p>
      <w:pPr>
        <w:spacing w:before="0" w:after="240"/>
        <w:pBdr>
          <w:bottom w:val="single" w:sz="14" w:space="1" w:color="2E74B5"/>
        </w:pBdr>
      </w:pP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EAF2F8"/>
          </w:tcPr>
          <w:p>
            <w:pPr>
              <w:spacing w:after="20"/>
              <w:jc w:val="center"/>
            </w:pPr>
            <w:r/>
            <w:r>
              <w:rPr>
                <w:rFonts w:ascii="Calibri" w:hAnsi="Calibri" w:eastAsia="Calibri"/>
                <w:b/>
                <w:i w:val="0"/>
                <w:color w:val="1F4D78"/>
                <w:sz w:val="40"/>
              </w:rPr>
              <w:t>4</w:t>
            </w:r>
          </w:p>
          <w:p>
            <w:pPr>
              <w:spacing w:after="0"/>
              <w:jc w:val="center"/>
            </w:pPr>
            <w:r>
              <w:rPr>
                <w:rFonts w:ascii="Calibri" w:hAnsi="Calibri" w:eastAsia="Calibri"/>
                <w:b w:val="0"/>
                <w:i w:val="0"/>
                <w:color w:val="5B6573"/>
                <w:sz w:val="17"/>
              </w:rPr>
              <w:t>symmetric workers</w:t>
            </w:r>
          </w:p>
        </w:tc>
        <w:tc>
          <w:tcPr>
            <w:tcW w:type="dxa" w:w="312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EAF2F8"/>
          </w:tcPr>
          <w:p>
            <w:pPr>
              <w:spacing w:after="20"/>
              <w:jc w:val="center"/>
            </w:pPr>
            <w:r/>
            <w:r>
              <w:rPr>
                <w:rFonts w:ascii="Calibri" w:hAnsi="Calibri" w:eastAsia="Calibri"/>
                <w:b/>
                <w:i w:val="0"/>
                <w:color w:val="1F4D78"/>
                <w:sz w:val="40"/>
              </w:rPr>
              <w:t>91.58%</w:t>
            </w:r>
          </w:p>
          <w:p>
            <w:pPr>
              <w:spacing w:after="0"/>
              <w:jc w:val="center"/>
            </w:pPr>
            <w:r>
              <w:rPr>
                <w:rFonts w:ascii="Calibri" w:hAnsi="Calibri" w:eastAsia="Calibri"/>
                <w:b w:val="0"/>
                <w:i w:val="0"/>
                <w:color w:val="5B6573"/>
                <w:sz w:val="17"/>
              </w:rPr>
              <w:t>D-PSGD mean accuracy</w:t>
            </w:r>
          </w:p>
        </w:tc>
        <w:tc>
          <w:tcPr>
            <w:tcW w:type="dxa" w:w="312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EAF2F8"/>
          </w:tcPr>
          <w:p>
            <w:pPr>
              <w:spacing w:after="20"/>
              <w:jc w:val="center"/>
            </w:pPr>
            <w:r/>
            <w:r>
              <w:rPr>
                <w:rFonts w:ascii="Calibri" w:hAnsi="Calibri" w:eastAsia="Calibri"/>
                <w:b/>
                <w:i w:val="0"/>
                <w:color w:val="1F4D78"/>
                <w:sz w:val="40"/>
              </w:rPr>
              <w:t>0.08 pp</w:t>
            </w:r>
          </w:p>
          <w:p>
            <w:pPr>
              <w:spacing w:after="0"/>
              <w:jc w:val="center"/>
            </w:pPr>
            <w:r>
              <w:rPr>
                <w:rFonts w:ascii="Calibri" w:hAnsi="Calibri" w:eastAsia="Calibri"/>
                <w:b w:val="0"/>
                <w:i w:val="0"/>
                <w:color w:val="5B6573"/>
                <w:sz w:val="17"/>
              </w:rPr>
              <w:t>mean gap to FedAvg</w:t>
            </w:r>
          </w:p>
        </w:tc>
      </w:tr>
    </w:tbl>
    <w:p>
      <w:pPr>
        <w:spacing w:after="6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EAF2F8"/>
          </w:tcPr>
          <w:p>
            <w:pPr>
              <w:spacing w:after="60"/>
            </w:pPr>
            <w:r/>
            <w:r>
              <w:rPr>
                <w:rFonts w:ascii="Calibri" w:hAnsi="Calibri" w:eastAsia="Calibri"/>
                <w:b/>
                <w:i w:val="0"/>
                <w:color w:val="1F4D78"/>
                <w:sz w:val="21"/>
              </w:rPr>
              <w:t>Bottom line</w:t>
            </w:r>
          </w:p>
          <w:p>
            <w:pPr>
              <w:spacing w:after="0"/>
            </w:pPr>
            <w:r>
              <w:rPr>
                <w:rFonts w:ascii="Calibri" w:hAnsi="Calibri" w:eastAsia="Calibri"/>
                <w:b w:val="0"/>
                <w:i w:val="0"/>
                <w:color w:val="1F2937"/>
                <w:sz w:val="21"/>
              </w:rPr>
              <w:t>D-PSGD finished within 0.08 percentage points of centralized FedAvg across three seeds. All training and peer exchange ran over real AXL connections, with no central training coordinator.</w:t>
            </w:r>
          </w:p>
        </w:tc>
      </w:tr>
    </w:tbl>
    <w:p>
      <w:pPr>
        <w:spacing w:after="20"/>
      </w:pPr>
    </w:p>
    <w:p>
      <w:r>
        <w:rPr>
          <w:rFonts w:ascii="Calibri" w:hAnsi="Calibri" w:eastAsia="Calibri"/>
          <w:b w:val="0"/>
          <w:i w:val="0"/>
          <w:color w:val="1F2937"/>
          <w:sz w:val="22"/>
        </w:rPr>
        <w:t>This report covers what we built, what we measured, and where the release evidence lives.</w:t>
      </w:r>
    </w:p>
    <w:p>
      <w:pPr>
        <w:pStyle w:val="Heading1"/>
      </w:pPr>
      <w:r>
        <w:t>Executive summary</w:t>
      </w:r>
    </w:p>
    <w:p>
      <w:pPr>
        <w:pStyle w:val="ListBullet"/>
        <w:ind w:left="720" w:hanging="360"/>
      </w:pPr>
      <w:r>
        <w:rPr>
          <w:rFonts w:ascii="Calibri" w:hAnsi="Calibri" w:eastAsia="Calibri"/>
          <w:b w:val="0"/>
          <w:i w:val="0"/>
          <w:color w:val="1F2937"/>
          <w:sz w:val="22"/>
        </w:rPr>
        <w:t>Four workers trained locally, exchanged model bundles over AXL, and averaged weights with peers.</w:t>
      </w:r>
    </w:p>
    <w:p>
      <w:pPr>
        <w:pStyle w:val="ListBullet"/>
        <w:ind w:left="720" w:hanging="360"/>
      </w:pPr>
      <w:r>
        <w:rPr>
          <w:rFonts w:ascii="Calibri" w:hAnsi="Calibri" w:eastAsia="Calibri"/>
          <w:b w:val="0"/>
          <w:i w:val="0"/>
          <w:color w:val="1F2937"/>
          <w:sz w:val="22"/>
        </w:rPr>
        <w:t>We ran three 400-round ResNet-32/CIFAR-10 jobs with seeds 17, 29, and 41. All 12 workers exited successfully after round 401.</w:t>
      </w:r>
    </w:p>
    <w:p>
      <w:pPr>
        <w:pStyle w:val="ListBullet"/>
        <w:ind w:left="720" w:hanging="360"/>
      </w:pPr>
      <w:r>
        <w:rPr>
          <w:rFonts w:ascii="Calibri" w:hAnsi="Calibri" w:eastAsia="Calibri"/>
          <w:b w:val="0"/>
          <w:i w:val="0"/>
          <w:color w:val="1F2937"/>
          <w:sz w:val="22"/>
        </w:rPr>
        <w:t>D-PSGD reached 91.58% mean final accuracy. FedAvg reached 91.50%, a difference of 0.08 percentage points.</w:t>
      </w:r>
    </w:p>
    <w:p>
      <w:pPr>
        <w:pStyle w:val="ListBullet"/>
        <w:ind w:left="720" w:hanging="360"/>
      </w:pPr>
      <w:r>
        <w:rPr>
          <w:rFonts w:ascii="Calibri" w:hAnsi="Calibri" w:eastAsia="Calibri"/>
          <w:b w:val="0"/>
          <w:i w:val="0"/>
          <w:color w:val="1F2937"/>
          <w:sz w:val="22"/>
        </w:rPr>
        <w:t>We measured all-pairs AXL RTT and 1/4/8/12 MiB transfers, including retries, checksums, and full-checkpoint exchange.</w:t>
      </w:r>
    </w:p>
    <w:p>
      <w:pPr>
        <w:pStyle w:val="ListBullet"/>
        <w:ind w:left="720" w:hanging="360"/>
      </w:pPr>
      <w:r>
        <w:rPr>
          <w:rFonts w:ascii="Calibri" w:hAnsi="Calibri" w:eastAsia="Calibri"/>
          <w:b w:val="0"/>
          <w:i w:val="0"/>
          <w:color w:val="1F2937"/>
          <w:sz w:val="22"/>
        </w:rPr>
        <w:t>The release includes per-seed charts, manifests, report JSON/Markdown, final safetensors checkpoints, and provenance. Full run archives remain private in S3.</w:t>
      </w:r>
    </w:p>
    <w:p>
      <w:pPr>
        <w:pStyle w:val="Heading1"/>
      </w:pPr>
      <w:r>
        <w:t>1. Implementation and protocol</w:t>
      </w:r>
    </w:p>
    <w:p>
      <w:r>
        <w:rPr>
          <w:rFonts w:ascii="Calibri" w:hAnsi="Calibri" w:eastAsia="Calibri"/>
          <w:b w:val="0"/>
          <w:i w:val="0"/>
          <w:color w:val="1F2937"/>
          <w:sz w:val="22"/>
        </w:rPr>
        <w:t>AXL handles group formation and byte transport. The workers train and average their models themselves. The bootstrap service does not aggregate updates or run the training rounds.</w:t>
      </w:r>
    </w:p>
    <w:p>
      <w:pPr>
        <w:pStyle w:val="Heading2"/>
      </w:pPr>
      <w:r>
        <w:t>Round lifecycle</w:t>
      </w:r>
    </w:p>
    <w:p>
      <w:pPr>
        <w:pStyle w:val="ListNumber"/>
        <w:ind w:left="720" w:hanging="360"/>
      </w:pPr>
      <w:r>
        <w:rPr>
          <w:rFonts w:ascii="Calibri" w:hAnsi="Calibri" w:eastAsia="Calibri"/>
          <w:b w:val="0"/>
          <w:i w:val="0"/>
          <w:color w:val="1F2937"/>
          <w:sz w:val="22"/>
        </w:rPr>
        <w:t>The workers form a fixed four-node group through the AXL bootstrap path.</w:t>
      </w:r>
    </w:p>
    <w:p>
      <w:pPr>
        <w:pStyle w:val="ListNumber"/>
        <w:ind w:left="720" w:hanging="360"/>
      </w:pPr>
      <w:r>
        <w:rPr>
          <w:rFonts w:ascii="Calibri" w:hAnsi="Calibri" w:eastAsia="Calibri"/>
          <w:b w:val="0"/>
          <w:i w:val="0"/>
          <w:color w:val="1F2937"/>
          <w:sz w:val="22"/>
        </w:rPr>
        <w:t>Each worker runs 40 local SGD steps on its own IID CIFAR-10 partition.</w:t>
      </w:r>
    </w:p>
    <w:p>
      <w:pPr>
        <w:pStyle w:val="ListNumber"/>
        <w:ind w:left="720" w:hanging="360"/>
      </w:pPr>
      <w:r>
        <w:rPr>
          <w:rFonts w:ascii="Calibri" w:hAnsi="Calibri" w:eastAsia="Calibri"/>
          <w:b w:val="0"/>
          <w:i w:val="0"/>
          <w:color w:val="1F2937"/>
          <w:sz w:val="22"/>
        </w:rPr>
        <w:t>A deterministic peer schedule selects pairwise exchanges. Each bundle carries its round and tensor metadata.</w:t>
      </w:r>
    </w:p>
    <w:p>
      <w:pPr>
        <w:pStyle w:val="ListNumber"/>
        <w:ind w:left="720" w:hanging="360"/>
      </w:pPr>
      <w:r>
        <w:rPr>
          <w:rFonts w:ascii="Calibri" w:hAnsi="Calibri" w:eastAsia="Calibri"/>
          <w:b w:val="0"/>
          <w:i w:val="0"/>
          <w:color w:val="1F2937"/>
          <w:sz w:val="22"/>
        </w:rPr>
        <w:t>Before applying a bundle, the worker checks the round, metadata, tensor schema, finite values, and checksum.</w:t>
      </w:r>
    </w:p>
    <w:p>
      <w:pPr>
        <w:pStyle w:val="ListNumber"/>
        <w:ind w:left="720" w:hanging="360"/>
      </w:pPr>
      <w:r>
        <w:rPr>
          <w:rFonts w:ascii="Calibri" w:hAnsi="Calibri" w:eastAsia="Calibri"/>
          <w:b w:val="0"/>
          <w:i w:val="0"/>
          <w:color w:val="1F2937"/>
          <w:sz w:val="22"/>
        </w:rPr>
        <w:t>The worker mixes the accepted weights as local ← 0.5 × local + 0.5 × peer, commits the result, and records a CountSketch consensus estimate.</w:t>
      </w:r>
    </w:p>
    <w:p>
      <w:pPr>
        <w:pStyle w:val="Heading2"/>
      </w:pPr>
      <w:r>
        <w:t>Reliability primitives</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Primitive</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Implementation evidence</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Chunk acknowledgments</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Transfers acknowledge each chunk, so both sides know what arrived.</w:t>
            </w:r>
          </w:p>
        </w:tc>
      </w:tr>
      <w:tr>
        <w:tc>
          <w:tcPr>
            <w:tcW w:type="dxa" w:w="26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Retries and deduplication</w:t>
            </w:r>
          </w:p>
        </w:tc>
        <w:tc>
          <w:tcPr>
            <w:tcW w:type="dxa" w:w="67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Retries are bounded at three, and duplicate chunks are ignored.</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Integrity checks</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Checksums are checked before transport artifacts or model bundles are applied.</w:t>
            </w:r>
          </w:p>
        </w:tc>
      </w:tr>
      <w:tr>
        <w:tc>
          <w:tcPr>
            <w:tcW w:type="dxa" w:w="26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Application flow control</w:t>
            </w:r>
          </w:p>
        </w:tc>
        <w:tc>
          <w:tcPr>
            <w:tcW w:type="dxa" w:w="67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Bounded queues limit in-flight data.</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Peer/update validation</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Workers check the round, metadata, artifact, tensor schema, dtype, shape, and finite values.</w:t>
            </w:r>
          </w:p>
        </w:tc>
      </w:tr>
      <w:tr>
        <w:tc>
          <w:tcPr>
            <w:tcW w:type="dxa" w:w="26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Durability</w:t>
            </w:r>
          </w:p>
        </w:tc>
        <w:tc>
          <w:tcPr>
            <w:tcW w:type="dxa" w:w="67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Committed round state and final checkpoints are retained. Intermediate snapshots are not part of the submission.</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8F5EA"/>
          </w:tcPr>
          <w:p>
            <w:pPr>
              <w:spacing w:after="60"/>
            </w:pPr>
            <w:r/>
            <w:r>
              <w:rPr>
                <w:rFonts w:ascii="Calibri" w:hAnsi="Calibri" w:eastAsia="Calibri"/>
                <w:b/>
                <w:i w:val="0"/>
                <w:color w:val="1F4D78"/>
                <w:sz w:val="21"/>
              </w:rPr>
              <w:t>Checkpoint scope</w:t>
            </w:r>
          </w:p>
          <w:p>
            <w:pPr>
              <w:spacing w:after="0"/>
            </w:pPr>
            <w:r>
              <w:rPr>
                <w:rFonts w:ascii="Calibri" w:hAnsi="Calibri" w:eastAsia="Calibri"/>
                <w:b w:val="0"/>
                <w:i w:val="0"/>
                <w:color w:val="1F2937"/>
                <w:sz w:val="21"/>
              </w:rPr>
              <w:t>We submit final checkpoints rather than every intermediate state. Historical checkpoints can help with forensic replay, but they are not needed for M1 review. The submitted evidence is the final safetensors files, logs, manifests, and provenance.</w:t>
            </w:r>
          </w:p>
        </w:tc>
      </w:tr>
    </w:tbl>
    <w:p>
      <w:pPr>
        <w:spacing w:after="20"/>
      </w:pPr>
    </w:p>
    <w:p>
      <w:r>
        <w:br w:type="page"/>
      </w:r>
    </w:p>
    <w:p>
      <w:pPr>
        <w:pStyle w:val="Heading1"/>
      </w:pPr>
      <w:r>
        <w:t>2. Acceptance criteria mapping</w:t>
      </w:r>
    </w:p>
    <w:tbl>
      <w:tblPr>
        <w:tblStyle w:val="TableGrid"/>
        <w:tblW w:type="dxa" w:w="9360"/>
        <w:tblLayout w:type="fixed"/>
        <w:tblLook w:firstColumn="1" w:firstRow="1" w:lastColumn="0" w:lastRow="0" w:noHBand="0" w:noVBand="1" w:val="04A0"/>
        <w:jc w:val="center"/>
        <w:tblInd w:w="120" w:type="dxa"/>
      </w:tblPr>
      <w:tblGrid>
        <w:gridCol w:w="4000"/>
        <w:gridCol w:w="1300"/>
        <w:gridCol w:w="4060"/>
      </w:tblGrid>
      <w:tr>
        <w:trPr>
          <w:tblHeader w:val="true"/>
        </w:trPr>
        <w:tc>
          <w:tcPr>
            <w:tcW w:type="dxa" w:w="4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7"/>
              </w:rPr>
              <w:t>Acceptance criterion</w:t>
            </w:r>
          </w:p>
        </w:tc>
        <w:tc>
          <w:tcPr>
            <w:tcW w:type="dxa" w:w="13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7"/>
              </w:rPr>
              <w:t>Result</w:t>
            </w:r>
          </w:p>
        </w:tc>
        <w:tc>
          <w:tcPr>
            <w:tcW w:type="dxa" w:w="40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7"/>
              </w:rPr>
              <w:t>Evidence location</w:t>
            </w:r>
          </w:p>
        </w:tc>
      </w:tr>
      <w:tr>
        <w:tc>
          <w:tcPr>
            <w:tcW w:type="dxa" w:w="4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Working D-PSGD gossip training over AXL on four nodes</w:t>
            </w:r>
          </w:p>
        </w:tc>
        <w:tc>
          <w:tcPr>
            <w:tcW w:type="dxa" w:w="13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PASS</w:t>
            </w:r>
          </w:p>
        </w:tc>
        <w:tc>
          <w:tcPr>
            <w:tcW w:type="dxa" w:w="40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Per-seed run manifests; worker logs; all 12 workers exit 0</w:t>
            </w:r>
          </w:p>
        </w:tc>
      </w:tr>
      <w:tr>
        <w:tc>
          <w:tcPr>
            <w:tcW w:type="dxa" w:w="40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CIFAR-10 final accuracy within a few points of centralized FedAvg</w:t>
            </w:r>
          </w:p>
        </w:tc>
        <w:tc>
          <w:tcPr>
            <w:tcW w:type="dxa" w:w="13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PASS</w:t>
            </w:r>
          </w:p>
        </w:tc>
        <w:tc>
          <w:tcPr>
            <w:tcW w:type="dxa" w:w="40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Accuracy table below; 0.08 pp mean difference</w:t>
            </w:r>
          </w:p>
        </w:tc>
      </w:tr>
      <w:tr>
        <w:tc>
          <w:tcPr>
            <w:tcW w:type="dxa" w:w="4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Chart showing consensus distance falling toward zero</w:t>
            </w:r>
          </w:p>
        </w:tc>
        <w:tc>
          <w:tcPr>
            <w:tcW w:type="dxa" w:w="13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PASS</w:t>
            </w:r>
          </w:p>
        </w:tc>
        <w:tc>
          <w:tcPr>
            <w:tcW w:type="dxa" w:w="40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Per-seed consensus figures; final-distance records</w:t>
            </w:r>
          </w:p>
        </w:tc>
      </w:tr>
      <w:tr>
        <w:tc>
          <w:tcPr>
            <w:tcW w:type="dxa" w:w="40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Tagged release with public benchmark</w:t>
            </w:r>
          </w:p>
        </w:tc>
        <w:tc>
          <w:tcPr>
            <w:tcW w:type="dxa" w:w="13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PASS</w:t>
            </w:r>
          </w:p>
        </w:tc>
        <w:tc>
          <w:tcPr>
            <w:tcW w:type="dxa" w:w="40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Published GitHub Release v0.1.0 with benchmark assets</w:t>
            </w:r>
          </w:p>
        </w:tc>
      </w:tr>
      <w:tr>
        <w:tc>
          <w:tcPr>
            <w:tcW w:type="dxa" w:w="4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Per-node logs and run manifest provided</w:t>
            </w:r>
          </w:p>
        </w:tc>
        <w:tc>
          <w:tcPr>
            <w:tcW w:type="dxa" w:w="13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PASS</w:t>
            </w:r>
          </w:p>
        </w:tc>
        <w:tc>
          <w:tcPr>
            <w:tcW w:type="dxa" w:w="40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Submission report bundle plus private raw S3 evidence</w:t>
            </w:r>
          </w:p>
        </w:tc>
      </w:tr>
      <w:tr>
        <w:tc>
          <w:tcPr>
            <w:tcW w:type="dxa" w:w="40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Transport latency baselines from the start</w:t>
            </w:r>
          </w:p>
        </w:tc>
        <w:tc>
          <w:tcPr>
            <w:tcW w:type="dxa" w:w="13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PASS</w:t>
            </w:r>
          </w:p>
        </w:tc>
        <w:tc>
          <w:tcPr>
            <w:tcW w:type="dxa" w:w="40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All-pairs AXL baseline table and raw run prefix</w:t>
            </w:r>
          </w:p>
        </w:tc>
      </w:tr>
    </w:tbl>
    <w:p>
      <w:pPr>
        <w:spacing w:after="20"/>
      </w:pPr>
    </w:p>
    <w:p>
      <w:r>
        <w:rPr>
          <w:rFonts w:ascii="Calibri" w:hAnsi="Calibri" w:eastAsia="Calibri"/>
          <w:b w:val="0"/>
          <w:i w:val="0"/>
          <w:color w:val="5B6573"/>
          <w:sz w:val="22"/>
        </w:rPr>
        <w:t>The v0.1.0 tag and benchmark assets are now public.</w:t>
      </w:r>
    </w:p>
    <w:p>
      <w:r>
        <w:br w:type="page"/>
      </w:r>
    </w:p>
    <w:p>
      <w:pPr>
        <w:pStyle w:val="Heading1"/>
      </w:pPr>
      <w:r>
        <w:t>3. Training benchmark</w:t>
      </w:r>
    </w:p>
    <w:p>
      <w:r>
        <w:rPr>
          <w:rFonts w:ascii="Calibri" w:hAnsi="Calibri" w:eastAsia="Calibri"/>
          <w:b w:val="0"/>
          <w:i w:val="0"/>
          <w:color w:val="1F2937"/>
          <w:sz w:val="22"/>
        </w:rPr>
        <w:t>We trained ResNet-32 on CIFAR-10 with four IID partitions, 400 rounds, 40 local SGD steps per round, batch size 128, learning rate 0.1, momentum 0.9, and weight decay 0.0001. Each seed used four workers.</w:t>
      </w:r>
    </w:p>
    <w:tbl>
      <w:tblPr>
        <w:tblStyle w:val="TableGrid"/>
        <w:tblW w:type="dxa" w:w="9360"/>
        <w:tblLayout w:type="fixed"/>
        <w:tblLook w:firstColumn="1" w:firstRow="1" w:lastColumn="0" w:lastRow="0" w:noHBand="0" w:noVBand="1" w:val="04A0"/>
        <w:jc w:val="center"/>
        <w:tblInd w:w="120" w:type="dxa"/>
      </w:tblPr>
      <w:tblGrid>
        <w:gridCol w:w="1050"/>
        <w:gridCol w:w="1700"/>
        <w:gridCol w:w="1700"/>
        <w:gridCol w:w="2400"/>
        <w:gridCol w:w="2510"/>
      </w:tblGrid>
      <w:tr>
        <w:trPr>
          <w:tblHeader w:val="true"/>
        </w:trPr>
        <w:tc>
          <w:tcPr>
            <w:tcW w:type="dxa" w:w="105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Seed</w:t>
            </w:r>
          </w:p>
        </w:tc>
        <w:tc>
          <w:tcPr>
            <w:tcW w:type="dxa" w:w="17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D-PSGD</w:t>
            </w:r>
          </w:p>
        </w:tc>
        <w:tc>
          <w:tcPr>
            <w:tcW w:type="dxa" w:w="17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FedAvg</w:t>
            </w:r>
          </w:p>
        </w:tc>
        <w:tc>
          <w:tcPr>
            <w:tcW w:type="dxa" w:w="24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D-PSGD − FedAvg</w:t>
            </w:r>
          </w:p>
        </w:tc>
        <w:tc>
          <w:tcPr>
            <w:tcW w:type="dxa" w:w="251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Final consensus</w:t>
            </w:r>
          </w:p>
        </w:tc>
      </w:tr>
      <w:tr>
        <w:tc>
          <w:tcPr>
            <w:tcW w:type="dxa" w:w="105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17</w:t>
            </w:r>
          </w:p>
        </w:tc>
        <w:tc>
          <w:tcPr>
            <w:tcW w:type="dxa" w:w="17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91.69%</w:t>
            </w:r>
          </w:p>
        </w:tc>
        <w:tc>
          <w:tcPr>
            <w:tcW w:type="dxa" w:w="17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91.71%</w:t>
            </w:r>
          </w:p>
        </w:tc>
        <w:tc>
          <w:tcPr>
            <w:tcW w:type="dxa" w:w="24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-0.02 pp</w:t>
            </w:r>
          </w:p>
        </w:tc>
        <w:tc>
          <w:tcPr>
            <w:tcW w:type="dxa" w:w="251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0.000000</w:t>
            </w:r>
          </w:p>
        </w:tc>
      </w:tr>
      <w:tr>
        <w:tc>
          <w:tcPr>
            <w:tcW w:type="dxa" w:w="105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29</w:t>
            </w:r>
          </w:p>
        </w:tc>
        <w:tc>
          <w:tcPr>
            <w:tcW w:type="dxa" w:w="17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91.44%</w:t>
            </w:r>
          </w:p>
        </w:tc>
        <w:tc>
          <w:tcPr>
            <w:tcW w:type="dxa" w:w="17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91.55%</w:t>
            </w:r>
          </w:p>
        </w:tc>
        <w:tc>
          <w:tcPr>
            <w:tcW w:type="dxa" w:w="24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-0.11 pp</w:t>
            </w:r>
          </w:p>
        </w:tc>
        <w:tc>
          <w:tcPr>
            <w:tcW w:type="dxa" w:w="251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0.002431</w:t>
            </w:r>
          </w:p>
        </w:tc>
      </w:tr>
      <w:tr>
        <w:tc>
          <w:tcPr>
            <w:tcW w:type="dxa" w:w="105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41</w:t>
            </w:r>
          </w:p>
        </w:tc>
        <w:tc>
          <w:tcPr>
            <w:tcW w:type="dxa" w:w="17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91.60%</w:t>
            </w:r>
          </w:p>
        </w:tc>
        <w:tc>
          <w:tcPr>
            <w:tcW w:type="dxa" w:w="17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91.23%</w:t>
            </w:r>
          </w:p>
        </w:tc>
        <w:tc>
          <w:tcPr>
            <w:tcW w:type="dxa" w:w="24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+0.37 pp</w:t>
            </w:r>
          </w:p>
        </w:tc>
        <w:tc>
          <w:tcPr>
            <w:tcW w:type="dxa" w:w="251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0.000000</w:t>
            </w:r>
          </w:p>
        </w:tc>
      </w:tr>
      <w:tr>
        <w:tc>
          <w:tcPr>
            <w:tcW w:type="dxa" w:w="105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Mean</w:t>
            </w:r>
          </w:p>
        </w:tc>
        <w:tc>
          <w:tcPr>
            <w:tcW w:type="dxa" w:w="17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91.58%</w:t>
            </w:r>
          </w:p>
        </w:tc>
        <w:tc>
          <w:tcPr>
            <w:tcW w:type="dxa" w:w="17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91.50%</w:t>
            </w:r>
          </w:p>
        </w:tc>
        <w:tc>
          <w:tcPr>
            <w:tcW w:type="dxa" w:w="24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+0.08 pp</w:t>
            </w:r>
          </w:p>
        </w:tc>
        <w:tc>
          <w:tcPr>
            <w:tcW w:type="dxa" w:w="251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see charts</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EAF2F8"/>
          </w:tcPr>
          <w:p>
            <w:pPr>
              <w:spacing w:after="60"/>
            </w:pPr>
            <w:r/>
            <w:r>
              <w:rPr>
                <w:rFonts w:ascii="Calibri" w:hAnsi="Calibri" w:eastAsia="Calibri"/>
                <w:b/>
                <w:i w:val="0"/>
                <w:color w:val="1F4D78"/>
                <w:sz w:val="21"/>
              </w:rPr>
              <w:t>Result interpretation</w:t>
            </w:r>
          </w:p>
          <w:p>
            <w:pPr>
              <w:spacing w:after="0"/>
            </w:pPr>
            <w:r>
              <w:rPr>
                <w:rFonts w:ascii="Calibri" w:hAnsi="Calibri" w:eastAsia="Calibri"/>
                <w:b w:val="0"/>
                <w:i w:val="0"/>
                <w:color w:val="1F2937"/>
                <w:sz w:val="21"/>
              </w:rPr>
              <w:t>Across the three seeds, D-PSGD is effectively tied with FedAvg. Its mean is 0.08 percentage points higher, and the largest per-seed difference is 0.37 percentage points.</w:t>
            </w:r>
          </w:p>
        </w:tc>
      </w:tr>
    </w:tbl>
    <w:p>
      <w:pPr>
        <w:spacing w:after="20"/>
      </w:pPr>
    </w:p>
    <w:p>
      <w:pPr>
        <w:pStyle w:val="Heading2"/>
      </w:pPr>
      <w:r>
        <w:t>Configuration and provenance</w:t>
      </w:r>
    </w:p>
    <w:tbl>
      <w:tblPr>
        <w:tblStyle w:val="TableGrid"/>
        <w:tblW w:type="dxa" w:w="9360"/>
        <w:tblLayout w:type="fixed"/>
        <w:tblLook w:firstColumn="1" w:firstRow="1" w:lastColumn="0" w:lastRow="0" w:noHBand="0" w:noVBand="1" w:val="04A0"/>
        <w:jc w:val="center"/>
        <w:tblInd w:w="120" w:type="dxa"/>
      </w:tblPr>
      <w:tblGrid>
        <w:gridCol w:w="2500"/>
        <w:gridCol w:w="6860"/>
      </w:tblGrid>
      <w:tr>
        <w:trPr>
          <w:tblHeader w:val="true"/>
        </w:trPr>
        <w:tc>
          <w:tcPr>
            <w:tcW w:type="dxa" w:w="25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Item</w:t>
            </w:r>
          </w:p>
        </w:tc>
        <w:tc>
          <w:tcPr>
            <w:tcW w:type="dxa" w:w="68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Value</w:t>
            </w:r>
          </w:p>
        </w:tc>
      </w:tr>
      <w:tr>
        <w:tc>
          <w:tcPr>
            <w:tcW w:type="dxa" w:w="25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Model / dataset</w:t>
            </w:r>
          </w:p>
        </w:tc>
        <w:tc>
          <w:tcPr>
            <w:tcW w:type="dxa" w:w="68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ResNet-32 / CIFAR-10; 50,000 samples; 4 × 12,500 IID partitions</w:t>
            </w:r>
          </w:p>
        </w:tc>
      </w:tr>
      <w:tr>
        <w:tc>
          <w:tcPr>
            <w:tcW w:type="dxa" w:w="25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Training</w:t>
            </w:r>
          </w:p>
        </w:tc>
        <w:tc>
          <w:tcPr>
            <w:tcW w:type="dxa" w:w="68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400 rounds; 40 local steps; batch 128; SGD; LR 0.1; momentum 0.9; weight decay 0.0001</w:t>
            </w:r>
          </w:p>
        </w:tc>
      </w:tr>
      <w:tr>
        <w:tc>
          <w:tcPr>
            <w:tcW w:type="dxa" w:w="25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Protocol</w:t>
            </w:r>
          </w:p>
        </w:tc>
        <w:tc>
          <w:tcPr>
            <w:tcW w:type="dxa" w:w="68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D-PSGD; safetensors-v1; protocol version 1; 4,096-entry consensus sketch</w:t>
            </w:r>
          </w:p>
        </w:tc>
      </w:tr>
      <w:tr>
        <w:tc>
          <w:tcPr>
            <w:tcW w:type="dxa" w:w="25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Framework</w:t>
            </w:r>
          </w:p>
        </w:tc>
        <w:tc>
          <w:tcPr>
            <w:tcW w:type="dxa" w:w="68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PyTorch 2.13.0+cpu</w:t>
            </w:r>
          </w:p>
        </w:tc>
      </w:tr>
      <w:tr>
        <w:tc>
          <w:tcPr>
            <w:tcW w:type="dxa" w:w="25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Workers</w:t>
            </w:r>
          </w:p>
        </w:tc>
        <w:tc>
          <w:tcPr>
            <w:tcW w:type="dxa" w:w="68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Four symmetric workers per seed; 12 worker runs total across seeds 17, 29, 41</w:t>
            </w:r>
          </w:p>
        </w:tc>
      </w:tr>
    </w:tbl>
    <w:p>
      <w:pPr>
        <w:spacing w:after="20"/>
      </w:pPr>
    </w:p>
    <w:p>
      <w:r>
        <w:br w:type="page"/>
      </w:r>
    </w:p>
    <w:p>
      <w:pPr>
        <w:pStyle w:val="Heading1"/>
      </w:pPr>
      <w:r>
        <w:t>4. Accuracy and loss curves</w:t>
      </w:r>
    </w:p>
    <w:p>
      <w:r>
        <w:rPr>
          <w:rFonts w:ascii="Calibri" w:hAnsi="Calibri" w:eastAsia="Calibri"/>
          <w:b w:val="0"/>
          <w:i w:val="0"/>
          <w:color w:val="1F2937"/>
          <w:sz w:val="22"/>
        </w:rPr>
        <w:t>These plots show accuracy and loss for each seed. The curves summarize the four workers; report.json also keeps the min, mean, and max values.</w:t>
      </w:r>
    </w:p>
    <w:p>
      <w:pPr>
        <w:keepNext/>
        <w:spacing w:after="40"/>
        <w:jc w:val="center"/>
      </w:pPr>
      <w:r>
        <w:drawing>
          <wp:inline xmlns:a="http://schemas.openxmlformats.org/drawingml/2006/main" xmlns:pic="http://schemas.openxmlformats.org/drawingml/2006/picture">
            <wp:extent cx="5623560" cy="3998976"/>
            <wp:docPr id="1" name="Picture 1" descr="Seed 17: D-PSGD/FedAvg accuracy and loss across four workers." title="Seed 17: D-PSGD/FedAvg accuracy and loss across four workers."/>
            <wp:cNvGraphicFramePr>
              <a:graphicFrameLocks noChangeAspect="1"/>
            </wp:cNvGraphicFramePr>
            <a:graphic>
              <a:graphicData uri="http://schemas.openxmlformats.org/drawingml/2006/picture">
                <pic:pic>
                  <pic:nvPicPr>
                    <pic:cNvPr id="0" name="metrics.png"/>
                    <pic:cNvPicPr/>
                  </pic:nvPicPr>
                  <pic:blipFill>
                    <a:blip r:embed="rId11"/>
                    <a:stretch>
                      <a:fillRect/>
                    </a:stretch>
                  </pic:blipFill>
                  <pic:spPr>
                    <a:xfrm>
                      <a:off x="0" y="0"/>
                      <a:ext cx="5623560" cy="3998976"/>
                    </a:xfrm>
                    <a:prstGeom prst="rect"/>
                  </pic:spPr>
                </pic:pic>
              </a:graphicData>
            </a:graphic>
          </wp:inline>
        </w:drawing>
      </w:r>
    </w:p>
    <w:p>
      <w:pPr>
        <w:pStyle w:val="Caption"/>
        <w:jc w:val="center"/>
      </w:pPr>
      <w:r>
        <w:t>Seed 17: D-PSGD/FedAvg accuracy and loss across four workers.</w:t>
      </w:r>
    </w:p>
    <w:p>
      <w:r>
        <w:br w:type="page"/>
      </w:r>
    </w:p>
    <w:p>
      <w:pPr>
        <w:keepNext/>
        <w:spacing w:after="40"/>
        <w:jc w:val="center"/>
      </w:pPr>
      <w:r>
        <w:drawing>
          <wp:inline xmlns:a="http://schemas.openxmlformats.org/drawingml/2006/main" xmlns:pic="http://schemas.openxmlformats.org/drawingml/2006/picture">
            <wp:extent cx="5623560" cy="3998976"/>
            <wp:docPr id="2" name="Picture 2" descr="Seed 29: D-PSGD/FedAvg accuracy and loss across four workers." title="Seed 29: D-PSGD/FedAvg accuracy and loss across four workers."/>
            <wp:cNvGraphicFramePr>
              <a:graphicFrameLocks noChangeAspect="1"/>
            </wp:cNvGraphicFramePr>
            <a:graphic>
              <a:graphicData uri="http://schemas.openxmlformats.org/drawingml/2006/picture">
                <pic:pic>
                  <pic:nvPicPr>
                    <pic:cNvPr id="0" name="metrics.png"/>
                    <pic:cNvPicPr/>
                  </pic:nvPicPr>
                  <pic:blipFill>
                    <a:blip r:embed="rId12"/>
                    <a:stretch>
                      <a:fillRect/>
                    </a:stretch>
                  </pic:blipFill>
                  <pic:spPr>
                    <a:xfrm>
                      <a:off x="0" y="0"/>
                      <a:ext cx="5623560" cy="3998976"/>
                    </a:xfrm>
                    <a:prstGeom prst="rect"/>
                  </pic:spPr>
                </pic:pic>
              </a:graphicData>
            </a:graphic>
          </wp:inline>
        </w:drawing>
      </w:r>
    </w:p>
    <w:p>
      <w:pPr>
        <w:pStyle w:val="Caption"/>
        <w:jc w:val="center"/>
      </w:pPr>
      <w:r>
        <w:t>Seed 29: D-PSGD/FedAvg accuracy and loss across four workers.</w:t>
      </w:r>
    </w:p>
    <w:p>
      <w:r>
        <w:br w:type="page"/>
      </w:r>
    </w:p>
    <w:p>
      <w:pPr>
        <w:keepNext/>
        <w:spacing w:after="40"/>
        <w:jc w:val="center"/>
      </w:pPr>
      <w:r>
        <w:drawing>
          <wp:inline xmlns:a="http://schemas.openxmlformats.org/drawingml/2006/main" xmlns:pic="http://schemas.openxmlformats.org/drawingml/2006/picture">
            <wp:extent cx="5623560" cy="3998976"/>
            <wp:docPr id="3" name="Picture 3" descr="Seed 41: D-PSGD/FedAvg accuracy and loss across four workers." title="Seed 41: D-PSGD/FedAvg accuracy and loss across four workers."/>
            <wp:cNvGraphicFramePr>
              <a:graphicFrameLocks noChangeAspect="1"/>
            </wp:cNvGraphicFramePr>
            <a:graphic>
              <a:graphicData uri="http://schemas.openxmlformats.org/drawingml/2006/picture">
                <pic:pic>
                  <pic:nvPicPr>
                    <pic:cNvPr id="0" name="metrics.png"/>
                    <pic:cNvPicPr/>
                  </pic:nvPicPr>
                  <pic:blipFill>
                    <a:blip r:embed="rId13"/>
                    <a:stretch>
                      <a:fillRect/>
                    </a:stretch>
                  </pic:blipFill>
                  <pic:spPr>
                    <a:xfrm>
                      <a:off x="0" y="0"/>
                      <a:ext cx="5623560" cy="3998976"/>
                    </a:xfrm>
                    <a:prstGeom prst="rect"/>
                  </pic:spPr>
                </pic:pic>
              </a:graphicData>
            </a:graphic>
          </wp:inline>
        </w:drawing>
      </w:r>
    </w:p>
    <w:p>
      <w:pPr>
        <w:pStyle w:val="Caption"/>
        <w:jc w:val="center"/>
      </w:pPr>
      <w:r>
        <w:t>Seed 41: D-PSGD/FedAvg accuracy and loss across four workers.</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8F5EA"/>
          </w:tcPr>
          <w:p>
            <w:pPr>
              <w:spacing w:after="60"/>
            </w:pPr>
            <w:r/>
            <w:r>
              <w:rPr>
                <w:rFonts w:ascii="Calibri" w:hAnsi="Calibri" w:eastAsia="Calibri"/>
                <w:b/>
                <w:i w:val="0"/>
                <w:color w:val="1F4D78"/>
                <w:sz w:val="21"/>
              </w:rPr>
              <w:t>Node-level reporting decision</w:t>
            </w:r>
          </w:p>
          <w:p>
            <w:pPr>
              <w:spacing w:after="0"/>
            </w:pPr>
            <w:r>
              <w:rPr>
                <w:rFonts w:ascii="Calibri" w:hAnsi="Calibri" w:eastAsia="Calibri"/>
                <w:b w:val="0"/>
                <w:i w:val="0"/>
                <w:color w:val="1F2937"/>
                <w:sz w:val="21"/>
              </w:rPr>
              <w:t>We did not add four separate node curves because the retained bundle has aggregate min/mean/max traces, not four complete time series. After the final consensus exchange, all four nodes have the same final accuracy within each seed: 91.69% for seed 17, 91.44% for seed 29, and 91.60% for seed 41. Raw worker logs remain available if a node-by-node view is needed.</w:t>
            </w:r>
          </w:p>
        </w:tc>
      </w:tr>
    </w:tbl>
    <w:p>
      <w:pPr>
        <w:spacing w:after="20"/>
      </w:pPr>
    </w:p>
    <w:p>
      <w:r>
        <w:br w:type="page"/>
      </w:r>
    </w:p>
    <w:p>
      <w:pPr>
        <w:pStyle w:val="Heading1"/>
      </w:pPr>
      <w:r>
        <w:t>5. Consensus evidence</w:t>
      </w:r>
    </w:p>
    <w:p>
      <w:r>
        <w:rPr>
          <w:rFonts w:ascii="Calibri" w:hAnsi="Calibri" w:eastAsia="Calibri"/>
          <w:b w:val="0"/>
          <w:i w:val="0"/>
          <w:color w:val="1F2937"/>
          <w:sz w:val="22"/>
        </w:rPr>
        <w:t>We tracked consensus distance during training and the final exchange. Seeds 17 and 41 finish at zero; seed 29 finishes at 0.002431. For a partial final diagnostic log, we use the last complete all-node reading.</w:t>
      </w:r>
    </w:p>
    <w:p>
      <w:pPr>
        <w:keepNext/>
        <w:spacing w:after="40"/>
        <w:jc w:val="center"/>
      </w:pPr>
      <w:r>
        <w:drawing>
          <wp:inline xmlns:a="http://schemas.openxmlformats.org/drawingml/2006/main" xmlns:pic="http://schemas.openxmlformats.org/drawingml/2006/picture">
            <wp:extent cx="5623560" cy="2999232"/>
            <wp:docPr id="4" name="Picture 4" descr="Seed 17: approximate consensus distance across the D-PSGD run; final value 0.000000." title="Seed 17: approximate consensus distance across the D-PSGD run; final value 0.000000."/>
            <wp:cNvGraphicFramePr>
              <a:graphicFrameLocks noChangeAspect="1"/>
            </wp:cNvGraphicFramePr>
            <a:graphic>
              <a:graphicData uri="http://schemas.openxmlformats.org/drawingml/2006/picture">
                <pic:pic>
                  <pic:nvPicPr>
                    <pic:cNvPr id="0" name="consensus.png"/>
                    <pic:cNvPicPr/>
                  </pic:nvPicPr>
                  <pic:blipFill>
                    <a:blip r:embed="rId14"/>
                    <a:stretch>
                      <a:fillRect/>
                    </a:stretch>
                  </pic:blipFill>
                  <pic:spPr>
                    <a:xfrm>
                      <a:off x="0" y="0"/>
                      <a:ext cx="5623560" cy="2999232"/>
                    </a:xfrm>
                    <a:prstGeom prst="rect"/>
                  </pic:spPr>
                </pic:pic>
              </a:graphicData>
            </a:graphic>
          </wp:inline>
        </w:drawing>
      </w:r>
    </w:p>
    <w:p>
      <w:pPr>
        <w:pStyle w:val="Caption"/>
        <w:jc w:val="center"/>
      </w:pPr>
      <w:r>
        <w:t>Seed 17: approximate consensus distance across the D-PSGD run; final value 0.000000.</w:t>
      </w:r>
    </w:p>
    <w:p>
      <w:r>
        <w:br w:type="page"/>
      </w:r>
    </w:p>
    <w:p>
      <w:pPr>
        <w:keepNext/>
        <w:spacing w:after="40"/>
        <w:jc w:val="center"/>
      </w:pPr>
      <w:r>
        <w:drawing>
          <wp:inline xmlns:a="http://schemas.openxmlformats.org/drawingml/2006/main" xmlns:pic="http://schemas.openxmlformats.org/drawingml/2006/picture">
            <wp:extent cx="5623560" cy="2999232"/>
            <wp:docPr id="5" name="Picture 5" descr="Seed 29: approximate consensus distance across the D-PSGD run; final value 0.002431." title="Seed 29: approximate consensus distance across the D-PSGD run; final value 0.002431."/>
            <wp:cNvGraphicFramePr>
              <a:graphicFrameLocks noChangeAspect="1"/>
            </wp:cNvGraphicFramePr>
            <a:graphic>
              <a:graphicData uri="http://schemas.openxmlformats.org/drawingml/2006/picture">
                <pic:pic>
                  <pic:nvPicPr>
                    <pic:cNvPr id="0" name="consensus.png"/>
                    <pic:cNvPicPr/>
                  </pic:nvPicPr>
                  <pic:blipFill>
                    <a:blip r:embed="rId15"/>
                    <a:stretch>
                      <a:fillRect/>
                    </a:stretch>
                  </pic:blipFill>
                  <pic:spPr>
                    <a:xfrm>
                      <a:off x="0" y="0"/>
                      <a:ext cx="5623560" cy="2999232"/>
                    </a:xfrm>
                    <a:prstGeom prst="rect"/>
                  </pic:spPr>
                </pic:pic>
              </a:graphicData>
            </a:graphic>
          </wp:inline>
        </w:drawing>
      </w:r>
    </w:p>
    <w:p>
      <w:pPr>
        <w:pStyle w:val="Caption"/>
        <w:jc w:val="center"/>
      </w:pPr>
      <w:r>
        <w:t>Seed 29: approximate consensus distance across the D-PSGD run; final value 0.002431.</w:t>
      </w:r>
    </w:p>
    <w:p>
      <w:r>
        <w:br w:type="page"/>
      </w:r>
    </w:p>
    <w:p>
      <w:pPr>
        <w:keepNext/>
        <w:spacing w:after="40"/>
        <w:jc w:val="center"/>
      </w:pPr>
      <w:r>
        <w:drawing>
          <wp:inline xmlns:a="http://schemas.openxmlformats.org/drawingml/2006/main" xmlns:pic="http://schemas.openxmlformats.org/drawingml/2006/picture">
            <wp:extent cx="5623560" cy="2999232"/>
            <wp:docPr id="6" name="Picture 6" descr="Seed 41: approximate consensus distance across the D-PSGD run; final value 0.000000." title="Seed 41: approximate consensus distance across the D-PSGD run; final value 0.000000."/>
            <wp:cNvGraphicFramePr>
              <a:graphicFrameLocks noChangeAspect="1"/>
            </wp:cNvGraphicFramePr>
            <a:graphic>
              <a:graphicData uri="http://schemas.openxmlformats.org/drawingml/2006/picture">
                <pic:pic>
                  <pic:nvPicPr>
                    <pic:cNvPr id="0" name="consensus.png"/>
                    <pic:cNvPicPr/>
                  </pic:nvPicPr>
                  <pic:blipFill>
                    <a:blip r:embed="rId16"/>
                    <a:stretch>
                      <a:fillRect/>
                    </a:stretch>
                  </pic:blipFill>
                  <pic:spPr>
                    <a:xfrm>
                      <a:off x="0" y="0"/>
                      <a:ext cx="5623560" cy="2999232"/>
                    </a:xfrm>
                    <a:prstGeom prst="rect"/>
                  </pic:spPr>
                </pic:pic>
              </a:graphicData>
            </a:graphic>
          </wp:inline>
        </w:drawing>
      </w:r>
    </w:p>
    <w:p>
      <w:pPr>
        <w:pStyle w:val="Caption"/>
        <w:jc w:val="center"/>
      </w:pPr>
      <w:r>
        <w:t>Seed 41: approximate consensus distance across the D-PSGD run; final value 0.000000.</w:t>
      </w:r>
    </w:p>
    <w:p>
      <w:r>
        <w:br w:type="page"/>
      </w:r>
    </w:p>
    <w:p>
      <w:pPr>
        <w:pStyle w:val="Heading1"/>
      </w:pPr>
      <w:r>
        <w:t>6. Raw AXL transport baselines</w:t>
      </w:r>
    </w:p>
    <w:p>
      <w:r>
        <w:rPr>
          <w:rFonts w:ascii="Calibri" w:hAnsi="Calibri" w:eastAsia="Calibri"/>
          <w:b w:val="0"/>
          <w:i w:val="0"/>
          <w:color w:val="1F2937"/>
          <w:sz w:val="22"/>
        </w:rPr>
        <w:t>We used four c7i.xlarge workers across us-east-1 and us-east-2. The run covered 12 directed paths in parallel, with five samples per payload and 60 control RTT samples. The ResNet-32 checkpoint was 1,879,464 bytes.</w:t>
      </w:r>
    </w:p>
    <w:tbl>
      <w:tblPr>
        <w:tblStyle w:val="TableGrid"/>
        <w:tblW w:type="dxa" w:w="9360"/>
        <w:tblLayout w:type="fixed"/>
        <w:tblLook w:firstColumn="1" w:firstRow="1" w:lastColumn="0" w:lastRow="0" w:noHBand="0" w:noVBand="1" w:val="04A0"/>
        <w:jc w:val="center"/>
        <w:tblInd w:w="120" w:type="dxa"/>
      </w:tblPr>
      <w:tblGrid>
        <w:gridCol w:w="2050"/>
        <w:gridCol w:w="1900"/>
        <w:gridCol w:w="1800"/>
        <w:gridCol w:w="1800"/>
        <w:gridCol w:w="1810"/>
      </w:tblGrid>
      <w:tr>
        <w:trPr>
          <w:tblHeader w:val="true"/>
        </w:trPr>
        <w:tc>
          <w:tcPr>
            <w:tcW w:type="dxa" w:w="205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Payload</w:t>
            </w:r>
          </w:p>
        </w:tc>
        <w:tc>
          <w:tcPr>
            <w:tcW w:type="dxa" w:w="19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Mean goodput</w:t>
            </w:r>
          </w:p>
        </w:tc>
        <w:tc>
          <w:tcPr>
            <w:tcW w:type="dxa" w:w="18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p50 latency</w:t>
            </w:r>
          </w:p>
        </w:tc>
        <w:tc>
          <w:tcPr>
            <w:tcW w:type="dxa" w:w="18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p95 latency</w:t>
            </w:r>
          </w:p>
        </w:tc>
        <w:tc>
          <w:tcPr>
            <w:tcW w:type="dxa" w:w="181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p99 latency</w:t>
            </w:r>
          </w:p>
        </w:tc>
      </w:tr>
      <w:tr>
        <w:tc>
          <w:tcPr>
            <w:tcW w:type="dxa" w:w="205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Raw control RTT</w:t>
            </w:r>
          </w:p>
        </w:tc>
        <w:tc>
          <w:tcPr>
            <w:tcW w:type="dxa" w:w="19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n/a</w:t>
            </w:r>
          </w:p>
        </w:tc>
        <w:tc>
          <w:tcPr>
            <w:tcW w:type="dxa" w:w="18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0.385 s</w:t>
            </w:r>
          </w:p>
        </w:tc>
        <w:tc>
          <w:tcPr>
            <w:tcW w:type="dxa" w:w="18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0.568 s</w:t>
            </w:r>
          </w:p>
        </w:tc>
        <w:tc>
          <w:tcPr>
            <w:tcW w:type="dxa" w:w="181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0.671 s</w:t>
            </w:r>
          </w:p>
        </w:tc>
      </w:tr>
      <w:tr>
        <w:tc>
          <w:tcPr>
            <w:tcW w:type="dxa" w:w="205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1 MiB</w:t>
            </w:r>
          </w:p>
        </w:tc>
        <w:tc>
          <w:tcPr>
            <w:tcW w:type="dxa" w:w="19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2.31 MiB/s</w:t>
            </w:r>
          </w:p>
        </w:tc>
        <w:tc>
          <w:tcPr>
            <w:tcW w:type="dxa" w:w="18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0.454 s</w:t>
            </w:r>
          </w:p>
        </w:tc>
        <w:tc>
          <w:tcPr>
            <w:tcW w:type="dxa" w:w="18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1.455 s</w:t>
            </w:r>
          </w:p>
        </w:tc>
        <w:tc>
          <w:tcPr>
            <w:tcW w:type="dxa" w:w="181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10.530 s</w:t>
            </w:r>
          </w:p>
        </w:tc>
      </w:tr>
      <w:tr>
        <w:tc>
          <w:tcPr>
            <w:tcW w:type="dxa" w:w="205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Full checkpoint</w:t>
            </w:r>
          </w:p>
        </w:tc>
        <w:tc>
          <w:tcPr>
            <w:tcW w:type="dxa" w:w="19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7.61 MiB/s</w:t>
            </w:r>
          </w:p>
        </w:tc>
        <w:tc>
          <w:tcPr>
            <w:tcW w:type="dxa" w:w="18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0.226 s</w:t>
            </w:r>
          </w:p>
        </w:tc>
        <w:tc>
          <w:tcPr>
            <w:tcW w:type="dxa" w:w="18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0.862 s</w:t>
            </w:r>
          </w:p>
        </w:tc>
        <w:tc>
          <w:tcPr>
            <w:tcW w:type="dxa" w:w="181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3.836 s</w:t>
            </w:r>
          </w:p>
        </w:tc>
      </w:tr>
      <w:tr>
        <w:tc>
          <w:tcPr>
            <w:tcW w:type="dxa" w:w="205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4 MiB</w:t>
            </w:r>
          </w:p>
        </w:tc>
        <w:tc>
          <w:tcPr>
            <w:tcW w:type="dxa" w:w="19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7.48 MiB/s</w:t>
            </w:r>
          </w:p>
        </w:tc>
        <w:tc>
          <w:tcPr>
            <w:tcW w:type="dxa" w:w="18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0.493 s</w:t>
            </w:r>
          </w:p>
        </w:tc>
        <w:tc>
          <w:tcPr>
            <w:tcW w:type="dxa" w:w="18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2.040 s</w:t>
            </w:r>
          </w:p>
        </w:tc>
        <w:tc>
          <w:tcPr>
            <w:tcW w:type="dxa" w:w="181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11.714 s</w:t>
            </w:r>
          </w:p>
        </w:tc>
      </w:tr>
      <w:tr>
        <w:tc>
          <w:tcPr>
            <w:tcW w:type="dxa" w:w="205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8 MiB</w:t>
            </w:r>
          </w:p>
        </w:tc>
        <w:tc>
          <w:tcPr>
            <w:tcW w:type="dxa" w:w="19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10.41 MiB/s</w:t>
            </w:r>
          </w:p>
        </w:tc>
        <w:tc>
          <w:tcPr>
            <w:tcW w:type="dxa" w:w="18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0.636 s</w:t>
            </w:r>
          </w:p>
        </w:tc>
        <w:tc>
          <w:tcPr>
            <w:tcW w:type="dxa" w:w="18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4.408 s</w:t>
            </w:r>
          </w:p>
        </w:tc>
        <w:tc>
          <w:tcPr>
            <w:tcW w:type="dxa" w:w="181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15.552 s</w:t>
            </w:r>
          </w:p>
        </w:tc>
      </w:tr>
      <w:tr>
        <w:tc>
          <w:tcPr>
            <w:tcW w:type="dxa" w:w="205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12 MiB</w:t>
            </w:r>
          </w:p>
        </w:tc>
        <w:tc>
          <w:tcPr>
            <w:tcW w:type="dxa" w:w="19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15.28 MiB/s</w:t>
            </w:r>
          </w:p>
        </w:tc>
        <w:tc>
          <w:tcPr>
            <w:tcW w:type="dxa" w:w="18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0.649 s</w:t>
            </w:r>
          </w:p>
        </w:tc>
        <w:tc>
          <w:tcPr>
            <w:tcW w:type="dxa" w:w="18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10.934 s</w:t>
            </w:r>
          </w:p>
        </w:tc>
        <w:tc>
          <w:tcPr>
            <w:tcW w:type="dxa" w:w="181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15.418 s</w:t>
            </w:r>
          </w:p>
        </w:tc>
      </w:tr>
    </w:tbl>
    <w:p>
      <w:pPr>
        <w:spacing w:after="20"/>
      </w:pPr>
    </w:p>
    <w:tbl>
      <w:tblPr>
        <w:tblStyle w:val="TableGrid"/>
        <w:tblW w:type="dxa" w:w="9360"/>
        <w:tblLayout w:type="fixed"/>
        <w:tblLook w:firstColumn="1" w:firstRow="1" w:lastColumn="0" w:lastRow="0" w:noHBand="0" w:noVBand="1" w:val="04A0"/>
        <w:jc w:val="center"/>
        <w:tblInd w:w="120" w:type="dxa"/>
      </w:tblPr>
      <w:tblGrid>
        <w:gridCol w:w="3000"/>
        <w:gridCol w:w="6360"/>
      </w:tblGrid>
      <w:tr>
        <w:trPr>
          <w:tblHeader w:val="true"/>
        </w:trPr>
        <w:tc>
          <w:tcPr>
            <w:tcW w:type="dxa" w:w="3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7"/>
              </w:rPr>
              <w:t>Reliability measure</w:t>
            </w:r>
          </w:p>
        </w:tc>
        <w:tc>
          <w:tcPr>
            <w:tcW w:type="dxa" w:w="6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7"/>
              </w:rPr>
              <w:t>Observed result</w:t>
            </w:r>
          </w:p>
        </w:tc>
      </w:tr>
      <w:tr>
        <w:tc>
          <w:tcPr>
            <w:tcW w:type="dxa" w:w="3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Total transfer samples</w:t>
            </w:r>
          </w:p>
        </w:tc>
        <w:tc>
          <w:tcPr>
            <w:tcW w:type="dxa" w:w="6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300</w:t>
            </w:r>
          </w:p>
        </w:tc>
      </w:tr>
      <w:tr>
        <w:tc>
          <w:tcPr>
            <w:tcW w:type="dxa" w:w="30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Checksum failures</w:t>
            </w:r>
          </w:p>
        </w:tc>
        <w:tc>
          <w:tcPr>
            <w:tcW w:type="dxa" w:w="63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0</w:t>
            </w:r>
          </w:p>
        </w:tc>
      </w:tr>
      <w:tr>
        <w:tc>
          <w:tcPr>
            <w:tcW w:type="dxa" w:w="3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Retried samples</w:t>
            </w:r>
          </w:p>
        </w:tc>
        <w:tc>
          <w:tcPr>
            <w:tcW w:type="dxa" w:w="6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3 (1.0%); each retried once</w:t>
            </w:r>
          </w:p>
        </w:tc>
      </w:tr>
      <w:tr>
        <w:tc>
          <w:tcPr>
            <w:tcW w:type="dxa" w:w="30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Checkpoint-transfer retries</w:t>
            </w:r>
          </w:p>
        </w:tc>
        <w:tc>
          <w:tcPr>
            <w:tcW w:type="dxa" w:w="63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0</w:t>
            </w:r>
          </w:p>
        </w:tc>
      </w:tr>
      <w:tr>
        <w:tc>
          <w:tcPr>
            <w:tcW w:type="dxa" w:w="3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AXL binary SHA-256</w:t>
            </w:r>
          </w:p>
        </w:tc>
        <w:tc>
          <w:tcPr>
            <w:tcW w:type="dxa" w:w="6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8ddebe8c…0256385</w:t>
            </w:r>
          </w:p>
        </w:tc>
      </w:tr>
      <w:tr>
        <w:tc>
          <w:tcPr>
            <w:tcW w:type="dxa" w:w="30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7"/>
              </w:rPr>
              <w:t>Raw evidence prefix</w:t>
            </w:r>
          </w:p>
        </w:tc>
        <w:tc>
          <w:tcPr>
            <w:tcW w:type="dxa" w:w="63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7"/>
              </w:rPr>
              <w:t>s3://dromeus-m1-benchmark-150911080841/quality/axl-baseline-20260730T131931Z-samples5/</w:t>
            </w:r>
          </w:p>
        </w:tc>
      </w:tr>
    </w:tbl>
    <w:p>
      <w:pPr>
        <w:spacing w:after="20"/>
      </w:pPr>
    </w:p>
    <w:p>
      <w:r>
        <w:rPr>
          <w:rFonts w:ascii="Calibri" w:hAnsi="Calibri" w:eastAsia="Calibri"/>
          <w:b w:val="0"/>
          <w:i w:val="0"/>
          <w:color w:val="5B6573"/>
          <w:sz w:val="22"/>
        </w:rPr>
        <w:t>Together, these numbers show the normal transfer times and the long-tail behavior that the raw AXL reliability layer must handle.</w:t>
      </w:r>
    </w:p>
    <w:p>
      <w:r>
        <w:br w:type="page"/>
      </w:r>
    </w:p>
    <w:p>
      <w:pPr>
        <w:pStyle w:val="Heading1"/>
      </w:pPr>
      <w:r>
        <w:t>7. Evidence and reproduction</w:t>
      </w:r>
    </w:p>
    <w:p>
      <w:pPr>
        <w:pStyle w:val="Heading2"/>
      </w:pPr>
      <w:r>
        <w:t>Included in the release</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Artifact</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8"/>
              </w:rPr>
              <w:t>Location / contents</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Submission report</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official/submission-report/report.json and report.md</w:t>
            </w:r>
          </w:p>
        </w:tc>
      </w:tr>
      <w:tr>
        <w:tc>
          <w:tcPr>
            <w:tcW w:type="dxa" w:w="26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Charts</w:t>
            </w:r>
          </w:p>
        </w:tc>
        <w:tc>
          <w:tcPr>
            <w:tcW w:type="dxa" w:w="67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Per-seed consensus, accuracy/loss, goodput, and timing PNGs</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Final checkpoints</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12 final .safetensors files; four per seed; approximately 3.76 MB each</w:t>
            </w:r>
          </w:p>
        </w:tc>
      </w:tr>
      <w:tr>
        <w:tc>
          <w:tcPr>
            <w:tcW w:type="dxa" w:w="26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Run provenance</w:t>
            </w:r>
          </w:p>
        </w:tc>
        <w:tc>
          <w:tcPr>
            <w:tcW w:type="dxa" w:w="67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Per-seed manifests, environment records, tensor schema, and report hashes</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8"/>
              </w:rPr>
              <w:t>Release marker</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8"/>
              </w:rPr>
              <w:t>GitHub Release v0.1.0 at tag commit 8dd1c702...</w:t>
            </w:r>
          </w:p>
        </w:tc>
      </w:tr>
    </w:tbl>
    <w:p>
      <w:pPr>
        <w:spacing w:after="20"/>
      </w:pPr>
    </w:p>
    <w:p>
      <w:pPr>
        <w:pStyle w:val="Heading2"/>
      </w:pPr>
      <w:r>
        <w:t>Build details</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6"/>
              </w:rPr>
              <w:t>Anchor</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6"/>
              </w:rPr>
              <w:t>Value</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Dromeus benchmark commit</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86be4ad812f071ed95409a67b7c56b95f8fbedf0</w:t>
            </w:r>
          </w:p>
        </w:tc>
      </w:tr>
      <w:tr>
        <w:tc>
          <w:tcPr>
            <w:tcW w:type="dxa" w:w="26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Frozen container image</w:t>
            </w:r>
          </w:p>
        </w:tc>
        <w:tc>
          <w:tcPr>
            <w:tcW w:type="dxa" w:w="67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sha256:1015f58ea64621b98319aa0dd61598d9028d5d71cc9c1eb9df7b23c36da1f89b</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AXL commit</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628e28ace077f26dfe8d0259009b357216a9d8d4</w:t>
            </w:r>
          </w:p>
        </w:tc>
      </w:tr>
      <w:tr>
        <w:tc>
          <w:tcPr>
            <w:tcW w:type="dxa" w:w="26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Model definition hash</w:t>
            </w:r>
          </w:p>
        </w:tc>
        <w:tc>
          <w:tcPr>
            <w:tcW w:type="dxa" w:w="67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83a4ed0acf0ff01fd04a6d013021d6e230601d1d33f9c07ff4adee4dc949cb14</w:t>
            </w:r>
          </w:p>
        </w:tc>
      </w:tr>
      <w:tr>
        <w:tc>
          <w:tcPr>
            <w:tcW w:type="dxa" w:w="26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Dataset version</w:t>
            </w:r>
          </w:p>
        </w:tc>
        <w:tc>
          <w:tcPr>
            <w:tcW w:type="dxa" w:w="67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huggingface-0b2714987fa478483af9968de7c934580d0bb9a2</w:t>
            </w:r>
          </w:p>
        </w:tc>
      </w:tr>
      <w:tr>
        <w:tc>
          <w:tcPr>
            <w:tcW w:type="dxa" w:w="26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Preprocessing hash</w:t>
            </w:r>
          </w:p>
        </w:tc>
        <w:tc>
          <w:tcPr>
            <w:tcW w:type="dxa" w:w="67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fab263925c870b8df3cd8f82e3258262e4f8db4943db449988058a60eaf04bf0</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8F5EA"/>
          </w:tcPr>
          <w:p>
            <w:pPr>
              <w:spacing w:after="60"/>
            </w:pPr>
            <w:r/>
            <w:r>
              <w:rPr>
                <w:rFonts w:ascii="Calibri" w:hAnsi="Calibri" w:eastAsia="Calibri"/>
                <w:b/>
                <w:i w:val="0"/>
                <w:color w:val="1F4D78"/>
                <w:sz w:val="21"/>
              </w:rPr>
              <w:t>Publication note</w:t>
            </w:r>
          </w:p>
          <w:p>
            <w:pPr>
              <w:spacing w:after="0"/>
            </w:pPr>
            <w:r>
              <w:rPr>
                <w:rFonts w:ascii="Calibri" w:hAnsi="Calibri" w:eastAsia="Calibri"/>
                <w:b w:val="0"/>
                <w:i w:val="0"/>
                <w:color w:val="1F2937"/>
                <w:sz w:val="21"/>
              </w:rPr>
              <w:t>The benchmark and public release are complete. The release contains the selected report and final checkpoints. Full historical checkpoint archives remain private and are not needed for acceptance review.</w:t>
            </w:r>
          </w:p>
        </w:tc>
      </w:tr>
    </w:tbl>
    <w:p>
      <w:pPr>
        <w:spacing w:after="20"/>
      </w:pPr>
    </w:p>
    <w:p>
      <w:pPr>
        <w:pStyle w:val="Heading2"/>
      </w:pPr>
      <w:r>
        <w:t>Quick review</w:t>
      </w:r>
    </w:p>
    <w:p>
      <w:pPr>
        <w:pStyle w:val="ListBullet"/>
        <w:ind w:left="720" w:hanging="360"/>
      </w:pPr>
      <w:r>
        <w:rPr>
          <w:rFonts w:ascii="Calibri" w:hAnsi="Calibri" w:eastAsia="Calibri"/>
          <w:b w:val="0"/>
          <w:i w:val="0"/>
          <w:color w:val="1F2937"/>
          <w:sz w:val="22"/>
        </w:rPr>
        <w:t>Check the four-node D-PSGD setup and confirm there is no central training aggregator.</w:t>
      </w:r>
    </w:p>
    <w:p>
      <w:pPr>
        <w:pStyle w:val="ListBullet"/>
        <w:ind w:left="720" w:hanging="360"/>
      </w:pPr>
      <w:r>
        <w:rPr>
          <w:rFonts w:ascii="Calibri" w:hAnsi="Calibri" w:eastAsia="Calibri"/>
          <w:b w:val="0"/>
          <w:i w:val="0"/>
          <w:color w:val="1F2937"/>
          <w:sz w:val="22"/>
        </w:rPr>
        <w:t>Review the three-seed accuracy table and consensus figures.</w:t>
      </w:r>
    </w:p>
    <w:p>
      <w:pPr>
        <w:pStyle w:val="ListBullet"/>
        <w:ind w:left="720" w:hanging="360"/>
      </w:pPr>
      <w:r>
        <w:rPr>
          <w:rFonts w:ascii="Calibri" w:hAnsi="Calibri" w:eastAsia="Calibri"/>
          <w:b w:val="0"/>
          <w:i w:val="0"/>
          <w:color w:val="1F2937"/>
          <w:sz w:val="22"/>
        </w:rPr>
        <w:t>Inspect the AXL baseline and reliability tables.</w:t>
      </w:r>
    </w:p>
    <w:p>
      <w:pPr>
        <w:pStyle w:val="ListBullet"/>
        <w:ind w:left="720" w:hanging="360"/>
      </w:pPr>
      <w:r>
        <w:rPr>
          <w:rFonts w:ascii="Calibri" w:hAnsi="Calibri" w:eastAsia="Calibri"/>
          <w:b w:val="0"/>
          <w:i w:val="0"/>
          <w:color w:val="1F2937"/>
          <w:sz w:val="22"/>
        </w:rPr>
        <w:t>Open the v0.1.0 release assets.</w:t>
      </w:r>
    </w:p>
    <w:p>
      <w:r>
        <w:br w:type="page"/>
      </w:r>
    </w:p>
    <w:p>
      <w:pPr>
        <w:pStyle w:val="Heading1"/>
      </w:pPr>
      <w:r>
        <w:t>Appendix: per-seed run identifiers</w:t>
      </w:r>
    </w:p>
    <w:tbl>
      <w:tblPr>
        <w:tblStyle w:val="TableGrid"/>
        <w:tblW w:type="dxa" w:w="9360"/>
        <w:tblLayout w:type="fixed"/>
        <w:tblLook w:firstColumn="1" w:firstRow="1" w:lastColumn="0" w:lastRow="0" w:noHBand="0" w:noVBand="1" w:val="04A0"/>
        <w:jc w:val="center"/>
        <w:tblInd w:w="120" w:type="dxa"/>
      </w:tblPr>
      <w:tblGrid>
        <w:gridCol w:w="1000"/>
        <w:gridCol w:w="3900"/>
        <w:gridCol w:w="4460"/>
      </w:tblGrid>
      <w:tr>
        <w:trPr>
          <w:tblHeader w:val="true"/>
        </w:trPr>
        <w:tc>
          <w:tcPr>
            <w:tcW w:type="dxa" w:w="1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6"/>
              </w:rPr>
              <w:t>Seed</w:t>
            </w:r>
          </w:p>
        </w:tc>
        <w:tc>
          <w:tcPr>
            <w:tcW w:type="dxa" w:w="39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6"/>
              </w:rPr>
              <w:t>Run ID</w:t>
            </w:r>
          </w:p>
        </w:tc>
        <w:tc>
          <w:tcPr>
            <w:tcW w:type="dxa" w:w="44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shd w:fill="F2F4F7"/>
          </w:tcPr>
          <w:p>
            <w:pPr>
              <w:spacing w:after="0"/>
            </w:pPr>
            <w:r/>
            <w:r>
              <w:rPr>
                <w:rFonts w:ascii="Calibri" w:hAnsi="Calibri" w:eastAsia="Calibri"/>
                <w:b/>
                <w:i w:val="0"/>
                <w:color w:val="1F4D78"/>
                <w:sz w:val="16"/>
              </w:rPr>
              <w:t>Manifest hash</w:t>
            </w:r>
          </w:p>
        </w:tc>
      </w:tr>
      <w:tr>
        <w:tc>
          <w:tcPr>
            <w:tcW w:type="dxa" w:w="1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17</w:t>
            </w:r>
          </w:p>
        </w:tc>
        <w:tc>
          <w:tcPr>
            <w:tcW w:type="dxa" w:w="39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dpsgd-resnet32-400-20260730-seed17</w:t>
            </w:r>
          </w:p>
        </w:tc>
        <w:tc>
          <w:tcPr>
            <w:tcW w:type="dxa" w:w="44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c8f5f7592b4d78fdeda8507f997386b0d373f6d0e47e21c433c56316a656466d</w:t>
            </w:r>
          </w:p>
        </w:tc>
      </w:tr>
      <w:tr>
        <w:tc>
          <w:tcPr>
            <w:tcW w:type="dxa" w:w="10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29</w:t>
            </w:r>
          </w:p>
        </w:tc>
        <w:tc>
          <w:tcPr>
            <w:tcW w:type="dxa" w:w="390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dpsgd-resnet32-400-20260730-seed29</w:t>
            </w:r>
          </w:p>
        </w:tc>
        <w:tc>
          <w:tcPr>
            <w:tcW w:type="dxa" w:w="4460"/>
            <w:shd w:fill="FAFBFC"/>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ec9b27e700242c8af87125ca792321ed47a0095efd8e09deb531d54e06f3f70d</w:t>
            </w:r>
          </w:p>
        </w:tc>
      </w:tr>
      <w:tr>
        <w:tc>
          <w:tcPr>
            <w:tcW w:type="dxa" w:w="10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i w:val="0"/>
                <w:color w:val="1F2937"/>
                <w:sz w:val="16"/>
              </w:rPr>
              <w:t>41</w:t>
            </w:r>
          </w:p>
        </w:tc>
        <w:tc>
          <w:tcPr>
            <w:tcW w:type="dxa" w:w="390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dpsgd-resnet32-400-20260730-seed41</w:t>
            </w:r>
          </w:p>
        </w:tc>
        <w:tc>
          <w:tcPr>
            <w:tcW w:type="dxa" w:w="4460"/>
            <w:vAlign w:val="top"/>
            <w:tcMar>
              <w:top w:w="80" w:type="dxa"/>
              <w:start w:w="120" w:type="dxa"/>
              <w:bottom w:w="80" w:type="dxa"/>
              <w:end w:w="120" w:type="dxa"/>
            </w:tcMar>
            <w:tcBorders>
              <w:top w:val="single" w:sz="4" w:space="0" w:color="C7D2E1"/>
              <w:left w:val="single" w:sz="4" w:space="0" w:color="C7D2E1"/>
              <w:bottom w:val="single" w:sz="4" w:space="0" w:color="C7D2E1"/>
              <w:right w:val="single" w:sz="4" w:space="0" w:color="C7D2E1"/>
              <w:insideH w:val="single" w:sz="4" w:space="0" w:color="C7D2E1"/>
              <w:insideV w:val="single" w:sz="4" w:space="0" w:color="C7D2E1"/>
            </w:tcBorders>
          </w:tcPr>
          <w:p>
            <w:pPr>
              <w:spacing w:after="0"/>
            </w:pPr>
            <w:r/>
            <w:r>
              <w:rPr>
                <w:rFonts w:ascii="Calibri" w:hAnsi="Calibri" w:eastAsia="Calibri"/>
                <w:b w:val="0"/>
                <w:i w:val="0"/>
                <w:color w:val="1F2937"/>
                <w:sz w:val="16"/>
              </w:rPr>
              <w:t>f0de1016a77380493bedb2844fd53483b6274b0b2dc393bd4e409deeb37ec19b</w:t>
            </w:r>
          </w:p>
        </w:tc>
      </w:tr>
    </w:tbl>
    <w:p>
      <w:pPr>
        <w:spacing w:after="20"/>
      </w:pPr>
    </w:p>
    <w:p>
      <w:r>
        <w:rPr>
          <w:rFonts w:ascii="Calibri" w:hAnsi="Calibri" w:eastAsia="Calibri"/>
          <w:b w:val="0"/>
          <w:i w:val="0"/>
          <w:color w:val="5B6573"/>
          <w:sz w:val="22"/>
        </w:rPr>
        <w:t>Source note: values are rounded for presentation. report.json is the machine-readable source of record.</w:t>
      </w:r>
    </w:p>
    <w:sectPr w:rsidR="00FC693F" w:rsidRPr="0006063C" w:rsidSect="00034616">
      <w:headerReference w:type="default" r:id="rId9"/>
      <w:footerReference w:type="default" r:id="rId10"/>
      <w:pgSz w:w="12240" w:h="15840"/>
      <w:pgMar w:top="1440"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eastAsia="Calibri"/>
        <w:b w:val="0"/>
        <w:i w:val="0"/>
        <w:color w:val="5B6573"/>
        <w:sz w:val="16"/>
      </w:rPr>
      <w:t>DROMEUS • AXL + D-PSGD</w:t>
    </w:r>
    <w:r>
      <w:rPr>
        <w:rFonts w:ascii="Calibri" w:hAnsi="Calibri" w:eastAsia="Calibri"/>
        <w:b w:val="0"/>
        <w:i w:val="0"/>
        <w:color w:val="5B6573"/>
        <w:sz w:val="16"/>
      </w:rPr>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1F4D78"/>
        <w:sz w:val="17"/>
      </w:rPr>
      <w:t>DROMEUS</w:t>
    </w:r>
    <w:r>
      <w:rPr>
        <w:rFonts w:ascii="Calibri" w:hAnsi="Calibri" w:eastAsia="Calibri"/>
        <w:b w:val="0"/>
        <w:i w:val="0"/>
        <w:color w:val="5B6573"/>
        <w:sz w:val="17"/>
      </w:rPr>
      <w:t xml:space="preserve">  |  MILESTONE 1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b w:val="0"/>
      <w:i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80" w:lineRule="auto"/>
    </w:pPr>
    <w:rPr>
      <w:rFonts w:ascii="Calibri" w:hAnsi="Calibri" w:eastAsia="Calibri"/>
      <w:b w:val="0"/>
      <w:i w:val="0"/>
      <w:color w:val="1F293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eastAsia="Calibri"/>
      <w:b w:val="0"/>
      <w:i w:val="0"/>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eastAsia="Calibri"/>
      <w:b w:val="0"/>
      <w:i w:val="0"/>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00"/>
    </w:pPr>
    <w:rPr>
      <w:rFonts w:ascii="Calibri" w:hAnsi="Calibri" w:eastAsia="Calibri"/>
      <w:b w:val="0"/>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Gossip Training over AXL</dc:title>
  <dc:subject>D-PSGD benchmark and acceptance evidence</dc:subject>
  <dc:creator>Dromeus</dc:creator>
  <cp:keywords>Gensyn, AXL, D-PSGD, CIFAR-10, ResNet-32</cp:keywords>
  <dc:description>generated by python-docx</dc:description>
  <cp:lastModifiedBy/>
  <cp:revision>1</cp:revision>
  <dcterms:created xsi:type="dcterms:W3CDTF">2013-12-23T23:15:00Z</dcterms:created>
  <dcterms:modified xsi:type="dcterms:W3CDTF">2013-12-23T23:15:00Z</dcterms:modified>
  <cp:category/>
</cp:coreProperties>
</file>