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Winning Strategy for HiRISE Anomaly Detection</w:t>
      </w:r>
    </w:p>
    <w:p>
      <w:pPr>
        <w:jc w:val="center"/>
      </w:pPr>
      <w:r>
        <w:rPr>
          <w:rFonts w:ascii="Aptos" w:hAnsi="Aptos"/>
          <w:i/>
          <w:sz w:val="24"/>
        </w:rPr>
        <w:t>IIT Kharagpur NSSC 2026 Data Analytics Challenge</w:t>
      </w:r>
    </w:p>
    <w:tbl>
      <w:tblPr>
        <w:tblW w:type="auto" w:w="0"/>
        <w:jc w:val="center"/>
        <w:tblLayout w:type="autofit"/>
        <w:tblLook w:firstColumn="1" w:firstRow="1" w:lastColumn="0" w:lastRow="0" w:noHBand="0" w:noVBand="1" w:val="04A0"/>
      </w:tblPr>
      <w:tblGrid>
        <w:gridCol w:w="10080"/>
      </w:tblGrid>
      <w:tr>
        <w:tc>
          <w:tcPr>
            <w:tcW w:type="dxa" w:w="10080"/>
            <w:shd w:fill="F2F2F2"/>
            <w:tcMar>
              <w:top w:w="150" w:type="dxa"/>
              <w:start w:w="170" w:type="dxa"/>
              <w:bottom w:w="150" w:type="dxa"/>
              <w:end w:w="170" w:type="dxa"/>
            </w:tcMar>
          </w:tcPr>
          <w:p>
            <w:r>
              <w:rPr>
                <w:b/>
                <w:sz w:val="22"/>
              </w:rPr>
              <w:t>Executive recommendation</w:t>
            </w:r>
            <w:r>
              <w:br/>
              <w:t xml:space="preserve">Do not submit a vanilla autoencoder. Build a Mars-specific, three-signal system with a deep generative core: </w:t>
            </w:r>
            <w:r>
              <w:rPr>
                <w:b/>
              </w:rPr>
              <w:t>Terrain-Conditioned Masked Diffusion + Semantic + Spectral scoring (TCMD-SS)</w:t>
            </w:r>
            <w:r>
              <w:t>. The generative branch reconstructs the most likely normal Martian surface; a frozen vision-foundation branch catches semantic outliers; a frequency branch catches sensor/channel artifacts. Add cluster-wise contamination-resistant training so rare anomalies in the unlabeled corpus are not learned as normal.</w:t>
            </w:r>
          </w:p>
        </w:tc>
      </w:tr>
    </w:tbl>
    <w:p>
      <w:r>
        <w:rPr>
          <w:b/>
        </w:rPr>
        <w:t xml:space="preserve">Why this is the strongest competition strategy: </w:t>
      </w:r>
      <w:r>
        <w:t>it maps directly to the three anomaly families named in the brief, follows the explicit “deep generative model” requirement, uses ideas validated in planetary anomaly detection, and incorporates 2025–2026 advances that fix known weaknesses of VAE/autoencoder reconstruction.</w:t>
      </w:r>
    </w:p>
    <w:p>
      <w:pPr>
        <w:pStyle w:val="KeyPoint"/>
      </w:pPr>
      <w:r>
        <w:rPr>
          <w:b/>
        </w:rPr>
        <w:t xml:space="preserve">Important limitation: </w:t>
      </w:r>
      <w:r>
        <w:t>No architecture can be guaranteed to win before running on the actual competition data and seeing the judging criteria. This report therefore recommends the highest-upside, evidence-backed design and a low-risk ablation path that can prove each addition is useful.</w:t>
      </w:r>
    </w:p>
    <w:p>
      <w:pPr>
        <w:pStyle w:val="Heading1"/>
      </w:pPr>
      <w:r>
        <w:t>1. What the competition actually rewards</w:t>
      </w:r>
    </w:p>
    <w:p>
      <w:r>
        <w:rPr>
          <w:b w:val="0"/>
        </w:rPr>
        <w:t xml:space="preserve">The released problem asks teams to learn dominant HiRISE imagery and isolate structural anomalies without anomaly labels. </w:t>
      </w:r>
      <w:r>
        <w:t xml:space="preserve">The examples are sensor artifacts, corrupted crops, and non-Martian contamination. The required submission also asks for explanations and at least three documented model versions. </w:t>
      </w:r>
      <w:r>
        <w:rPr>
          <w:sz w:val="14"/>
          <w:vertAlign w:val="superscript"/>
        </w:rPr>
        <w:t>[1]</w:t>
      </w:r>
    </w:p>
    <w:p>
      <w:r>
        <w:rPr>
          <w:b w:val="0"/>
        </w:rPr>
        <w:t xml:space="preserve">The official NSSC page confirms that Data Analytics is a team challenge with a released problem statement and an offline round for qualifiers. </w:t>
      </w:r>
      <w:r>
        <w:rPr>
          <w:sz w:val="14"/>
          <w:vertAlign w:val="superscript"/>
        </w:rPr>
        <w:t>[2]</w:t>
      </w:r>
    </w:p>
    <w:p>
      <w:pPr>
        <w:pStyle w:val="ListBullet"/>
        <w:spacing w:after="60"/>
      </w:pPr>
      <w:r>
        <w:t>Primary judging risk: a technically strong but non-generative detector may look misaligned with the stated task.</w:t>
      </w:r>
    </w:p>
    <w:p>
      <w:pPr>
        <w:pStyle w:val="ListBullet"/>
        <w:spacing w:after="60"/>
      </w:pPr>
      <w:r>
        <w:t>Scientific risk: Mars has many legitimate but visually rare terrains; a global “distance from average” score may falsely flag rare geology.</w:t>
      </w:r>
    </w:p>
    <w:p>
      <w:pPr>
        <w:pStyle w:val="ListBullet"/>
        <w:spacing w:after="60"/>
      </w:pPr>
      <w:r>
        <w:t>Data risk: the brief describes rare anomalies hidden inside a large unlabeled archive, so the training corpus may itself be contaminated.</w:t>
      </w:r>
    </w:p>
    <w:p>
      <w:pPr>
        <w:pStyle w:val="ListBullet"/>
        <w:spacing w:after="60"/>
      </w:pPr>
      <w:r>
        <w:t>Presentation risk: a single anomaly score is hard to defend when the anomaly mechanisms are fundamentally different.</w:t>
      </w:r>
    </w:p>
    <w:p>
      <w:pPr>
        <w:pStyle w:val="Heading1"/>
      </w:pPr>
      <w:r>
        <w:t>2. What the research literature says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6E6E6"/>
            <w:vAlign w:val="center"/>
          </w:tcPr>
          <w:p>
            <w:r>
              <w:rPr>
                <w:b/>
                <w:sz w:val="17"/>
              </w:rPr>
              <w:t>Evidence</w:t>
            </w:r>
          </w:p>
        </w:tc>
        <w:tc>
          <w:tcPr>
            <w:tcW w:type="dxa" w:w="2520"/>
            <w:shd w:fill="E6E6E6"/>
            <w:vAlign w:val="center"/>
          </w:tcPr>
          <w:p>
            <w:r>
              <w:rPr>
                <w:b/>
                <w:sz w:val="17"/>
              </w:rPr>
              <w:t>Key finding</w:t>
            </w:r>
          </w:p>
        </w:tc>
        <w:tc>
          <w:tcPr>
            <w:tcW w:type="dxa" w:w="2520"/>
            <w:shd w:fill="E6E6E6"/>
            <w:vAlign w:val="center"/>
          </w:tcPr>
          <w:p>
            <w:r>
              <w:rPr>
                <w:b/>
                <w:sz w:val="17"/>
              </w:rPr>
              <w:t>Competition implication</w:t>
            </w:r>
          </w:p>
        </w:tc>
        <w:tc>
          <w:tcPr>
            <w:tcW w:type="dxa" w:w="2520"/>
            <w:shd w:fill="E6E6E6"/>
            <w:vAlign w:val="center"/>
          </w:tcPr>
          <w:p>
            <w:r>
              <w:rPr>
                <w:b/>
                <w:sz w:val="17"/>
              </w:rPr>
              <w:t>Source</w:t>
            </w:r>
          </w:p>
        </w:tc>
      </w:tr>
      <w:tr>
        <w:tc>
          <w:tcPr>
            <w:tcW w:type="dxa" w:w="2520"/>
            <w:tcMar>
              <w:top w:w="80" w:type="dxa"/>
              <w:start w:w="90" w:type="dxa"/>
              <w:bottom w:w="80" w:type="dxa"/>
              <w:end w:w="90" w:type="dxa"/>
            </w:tcMar>
            <w:vAlign w:val="top"/>
          </w:tcPr>
          <w:p>
            <w:pPr>
              <w:spacing w:after="20"/>
            </w:pPr>
            <w:r>
              <w:rPr>
                <w:sz w:val="16"/>
              </w:rPr>
              <w:t>Planetary β-VAE (2024)</w:t>
            </w:r>
          </w:p>
        </w:tc>
        <w:tc>
          <w:tcPr>
            <w:tcW w:type="dxa" w:w="2520"/>
            <w:tcMar>
              <w:top w:w="80" w:type="dxa"/>
              <w:start w:w="90" w:type="dxa"/>
              <w:bottom w:w="80" w:type="dxa"/>
              <w:end w:w="90" w:type="dxa"/>
            </w:tcMar>
            <w:vAlign w:val="top"/>
          </w:tcPr>
          <w:p>
            <w:pPr>
              <w:spacing w:after="20"/>
            </w:pPr>
            <w:r>
              <w:rPr>
                <w:sz w:val="16"/>
              </w:rPr>
              <w:t>Deep generative VAE on ~52M lunar patches; anomaly score combined reconstruction and latent deviation; retrieved geological features and spacecraft sites.</w:t>
            </w:r>
          </w:p>
        </w:tc>
        <w:tc>
          <w:tcPr>
            <w:tcW w:type="dxa" w:w="2520"/>
            <w:tcMar>
              <w:top w:w="80" w:type="dxa"/>
              <w:start w:w="90" w:type="dxa"/>
              <w:bottom w:w="80" w:type="dxa"/>
              <w:end w:w="90" w:type="dxa"/>
            </w:tcMar>
            <w:vAlign w:val="top"/>
          </w:tcPr>
          <w:p>
            <w:pPr>
              <w:spacing w:after="20"/>
            </w:pPr>
            <w:r>
              <w:rPr>
                <w:sz w:val="16"/>
              </w:rPr>
              <w:t>Direct proof that generative anomaly ranking can work on planetary orbital imagery.</w:t>
            </w:r>
          </w:p>
        </w:tc>
        <w:tc>
          <w:tcPr>
            <w:tcW w:type="dxa" w:w="2520"/>
            <w:tcMar>
              <w:top w:w="80" w:type="dxa"/>
              <w:start w:w="90" w:type="dxa"/>
              <w:bottom w:w="80" w:type="dxa"/>
              <w:end w:w="90" w:type="dxa"/>
            </w:tcMar>
            <w:vAlign w:val="top"/>
          </w:tcPr>
          <w:p>
            <w:pPr>
              <w:spacing w:after="20"/>
            </w:pPr>
            <w:r>
              <w:rPr>
                <w:sz w:val="16"/>
              </w:rPr>
              <w:t>[3]</w:t>
            </w:r>
          </w:p>
        </w:tc>
      </w:tr>
      <w:tr>
        <w:tc>
          <w:tcPr>
            <w:tcW w:type="dxa" w:w="2520"/>
            <w:tcMar>
              <w:top w:w="80" w:type="dxa"/>
              <w:start w:w="90" w:type="dxa"/>
              <w:bottom w:w="80" w:type="dxa"/>
              <w:end w:w="90" w:type="dxa"/>
            </w:tcMar>
            <w:vAlign w:val="top"/>
          </w:tcPr>
          <w:p>
            <w:pPr>
              <w:spacing w:after="20"/>
            </w:pPr>
            <w:r>
              <w:rPr>
                <w:sz w:val="16"/>
              </w:rPr>
              <w:t>MemAE (ICCV 2019)</w:t>
            </w:r>
          </w:p>
        </w:tc>
        <w:tc>
          <w:tcPr>
            <w:tcW w:type="dxa" w:w="2520"/>
            <w:tcMar>
              <w:top w:w="80" w:type="dxa"/>
              <w:start w:w="90" w:type="dxa"/>
              <w:bottom w:w="80" w:type="dxa"/>
              <w:end w:w="90" w:type="dxa"/>
            </w:tcMar>
            <w:vAlign w:val="top"/>
          </w:tcPr>
          <w:p>
            <w:pPr>
              <w:spacing w:after="20"/>
            </w:pPr>
            <w:r>
              <w:rPr>
                <w:sz w:val="16"/>
              </w:rPr>
              <w:t>Shows ordinary autoencoders can reconstruct anomalies too well; memory restricts reconstruction to learned normal prototypes.</w:t>
            </w:r>
          </w:p>
        </w:tc>
        <w:tc>
          <w:tcPr>
            <w:tcW w:type="dxa" w:w="2520"/>
            <w:tcMar>
              <w:top w:w="80" w:type="dxa"/>
              <w:start w:w="90" w:type="dxa"/>
              <w:bottom w:w="80" w:type="dxa"/>
              <w:end w:w="90" w:type="dxa"/>
            </w:tcMar>
            <w:vAlign w:val="top"/>
          </w:tcPr>
          <w:p>
            <w:pPr>
              <w:spacing w:after="20"/>
            </w:pPr>
            <w:r>
              <w:rPr>
                <w:sz w:val="16"/>
              </w:rPr>
              <w:t>Reason not to rely on a plain autoencoder.</w:t>
            </w:r>
          </w:p>
        </w:tc>
        <w:tc>
          <w:tcPr>
            <w:tcW w:type="dxa" w:w="2520"/>
            <w:tcMar>
              <w:top w:w="80" w:type="dxa"/>
              <w:start w:w="90" w:type="dxa"/>
              <w:bottom w:w="80" w:type="dxa"/>
              <w:end w:w="90" w:type="dxa"/>
            </w:tcMar>
            <w:vAlign w:val="top"/>
          </w:tcPr>
          <w:p>
            <w:pPr>
              <w:spacing w:after="20"/>
            </w:pPr>
            <w:r>
              <w:rPr>
                <w:sz w:val="16"/>
              </w:rPr>
              <w:t>[4]</w:t>
            </w:r>
          </w:p>
        </w:tc>
      </w:tr>
      <w:tr>
        <w:tc>
          <w:tcPr>
            <w:tcW w:type="dxa" w:w="2520"/>
            <w:tcMar>
              <w:top w:w="80" w:type="dxa"/>
              <w:start w:w="90" w:type="dxa"/>
              <w:bottom w:w="80" w:type="dxa"/>
              <w:end w:w="90" w:type="dxa"/>
            </w:tcMar>
            <w:vAlign w:val="top"/>
          </w:tcPr>
          <w:p>
            <w:pPr>
              <w:spacing w:after="20"/>
            </w:pPr>
            <w:r>
              <w:rPr>
                <w:sz w:val="16"/>
              </w:rPr>
              <w:t>MAE (CVPR 2022)</w:t>
            </w:r>
          </w:p>
        </w:tc>
        <w:tc>
          <w:tcPr>
            <w:tcW w:type="dxa" w:w="2520"/>
            <w:tcMar>
              <w:top w:w="80" w:type="dxa"/>
              <w:start w:w="90" w:type="dxa"/>
              <w:bottom w:w="80" w:type="dxa"/>
              <w:end w:w="90" w:type="dxa"/>
            </w:tcMar>
            <w:vAlign w:val="top"/>
          </w:tcPr>
          <w:p>
            <w:pPr>
              <w:spacing w:after="20"/>
            </w:pPr>
            <w:r>
              <w:rPr>
                <w:sz w:val="16"/>
              </w:rPr>
              <w:t>High masking ratios force models to infer missing visual content instead of copying pixels.</w:t>
            </w:r>
          </w:p>
        </w:tc>
        <w:tc>
          <w:tcPr>
            <w:tcW w:type="dxa" w:w="2520"/>
            <w:tcMar>
              <w:top w:w="80" w:type="dxa"/>
              <w:start w:w="90" w:type="dxa"/>
              <w:bottom w:w="80" w:type="dxa"/>
              <w:end w:w="90" w:type="dxa"/>
            </w:tcMar>
            <w:vAlign w:val="top"/>
          </w:tcPr>
          <w:p>
            <w:pPr>
              <w:spacing w:after="20"/>
            </w:pPr>
            <w:r>
              <w:rPr>
                <w:sz w:val="16"/>
              </w:rPr>
              <w:t>Supports masked reconstruction for stronger contextual normality learning.</w:t>
            </w:r>
          </w:p>
        </w:tc>
        <w:tc>
          <w:tcPr>
            <w:tcW w:type="dxa" w:w="2520"/>
            <w:tcMar>
              <w:top w:w="80" w:type="dxa"/>
              <w:start w:w="90" w:type="dxa"/>
              <w:bottom w:w="80" w:type="dxa"/>
              <w:end w:w="90" w:type="dxa"/>
            </w:tcMar>
            <w:vAlign w:val="top"/>
          </w:tcPr>
          <w:p>
            <w:pPr>
              <w:spacing w:after="20"/>
            </w:pPr>
            <w:r>
              <w:rPr>
                <w:sz w:val="16"/>
              </w:rPr>
              <w:t>[5]</w:t>
            </w:r>
          </w:p>
        </w:tc>
      </w:tr>
      <w:tr>
        <w:tc>
          <w:tcPr>
            <w:tcW w:type="dxa" w:w="2520"/>
            <w:tcMar>
              <w:top w:w="80" w:type="dxa"/>
              <w:start w:w="90" w:type="dxa"/>
              <w:bottom w:w="80" w:type="dxa"/>
              <w:end w:w="90" w:type="dxa"/>
            </w:tcMar>
            <w:vAlign w:val="top"/>
          </w:tcPr>
          <w:p>
            <w:pPr>
              <w:spacing w:after="20"/>
            </w:pPr>
            <w:r>
              <w:rPr>
                <w:sz w:val="16"/>
              </w:rPr>
              <w:t>AnoDDPM (CVPRW 2022)</w:t>
            </w:r>
          </w:p>
        </w:tc>
        <w:tc>
          <w:tcPr>
            <w:tcW w:type="dxa" w:w="2520"/>
            <w:tcMar>
              <w:top w:w="80" w:type="dxa"/>
              <w:start w:w="90" w:type="dxa"/>
              <w:bottom w:w="80" w:type="dxa"/>
              <w:end w:w="90" w:type="dxa"/>
            </w:tcMar>
            <w:vAlign w:val="top"/>
          </w:tcPr>
          <w:p>
            <w:pPr>
              <w:spacing w:after="20"/>
            </w:pPr>
            <w:r>
              <w:rPr>
                <w:sz w:val="16"/>
              </w:rPr>
              <w:t>Partial diffusion with multi-scale simplex noise improves reconstruction-based anomaly detection and handles larger anomalies.</w:t>
            </w:r>
          </w:p>
        </w:tc>
        <w:tc>
          <w:tcPr>
            <w:tcW w:type="dxa" w:w="2520"/>
            <w:tcMar>
              <w:top w:w="80" w:type="dxa"/>
              <w:start w:w="90" w:type="dxa"/>
              <w:bottom w:w="80" w:type="dxa"/>
              <w:end w:w="90" w:type="dxa"/>
            </w:tcMar>
            <w:vAlign w:val="top"/>
          </w:tcPr>
          <w:p>
            <w:pPr>
              <w:spacing w:after="20"/>
            </w:pPr>
            <w:r>
              <w:rPr>
                <w:sz w:val="16"/>
              </w:rPr>
              <w:t>Supports partial/multi-scale diffusion rather than full slow sampling.</w:t>
            </w:r>
          </w:p>
        </w:tc>
        <w:tc>
          <w:tcPr>
            <w:tcW w:type="dxa" w:w="2520"/>
            <w:tcMar>
              <w:top w:w="80" w:type="dxa"/>
              <w:start w:w="90" w:type="dxa"/>
              <w:bottom w:w="80" w:type="dxa"/>
              <w:end w:w="90" w:type="dxa"/>
            </w:tcMar>
            <w:vAlign w:val="top"/>
          </w:tcPr>
          <w:p>
            <w:pPr>
              <w:spacing w:after="20"/>
            </w:pPr>
            <w:r>
              <w:rPr>
                <w:sz w:val="16"/>
              </w:rPr>
              <w:t>[6]</w:t>
            </w:r>
          </w:p>
        </w:tc>
      </w:tr>
      <w:tr>
        <w:tc>
          <w:tcPr>
            <w:tcW w:type="dxa" w:w="2520"/>
            <w:tcMar>
              <w:top w:w="80" w:type="dxa"/>
              <w:start w:w="90" w:type="dxa"/>
              <w:bottom w:w="80" w:type="dxa"/>
              <w:end w:w="90" w:type="dxa"/>
            </w:tcMar>
            <w:vAlign w:val="top"/>
          </w:tcPr>
          <w:p>
            <w:pPr>
              <w:spacing w:after="20"/>
            </w:pPr>
            <w:r>
              <w:rPr>
                <w:sz w:val="16"/>
              </w:rPr>
              <w:t>DeCo-Diff (CVPR 2025)</w:t>
            </w:r>
          </w:p>
        </w:tc>
        <w:tc>
          <w:tcPr>
            <w:tcW w:type="dxa" w:w="2520"/>
            <w:tcMar>
              <w:top w:w="80" w:type="dxa"/>
              <w:start w:w="90" w:type="dxa"/>
              <w:bottom w:w="80" w:type="dxa"/>
              <w:end w:w="90" w:type="dxa"/>
            </w:tcMar>
            <w:vAlign w:val="top"/>
          </w:tcPr>
          <w:p>
            <w:pPr>
              <w:spacing w:after="20"/>
            </w:pPr>
            <w:r>
              <w:rPr>
                <w:sz w:val="16"/>
              </w:rPr>
              <w:t>Reformulates diffusion to preserve normal regions and selectively correct deviations; reports 11–14% pixel-AUPRC improvement over prior SOTA in its benchmarks.</w:t>
            </w:r>
          </w:p>
        </w:tc>
        <w:tc>
          <w:tcPr>
            <w:tcW w:type="dxa" w:w="2520"/>
            <w:tcMar>
              <w:top w:w="80" w:type="dxa"/>
              <w:start w:w="90" w:type="dxa"/>
              <w:bottom w:w="80" w:type="dxa"/>
              <w:end w:w="90" w:type="dxa"/>
            </w:tcMar>
            <w:vAlign w:val="top"/>
          </w:tcPr>
          <w:p>
            <w:pPr>
              <w:spacing w:after="20"/>
            </w:pPr>
            <w:r>
              <w:rPr>
                <w:sz w:val="16"/>
              </w:rPr>
              <w:t>Best-fit research starting point for a multi-terrain generative backbone.</w:t>
            </w:r>
          </w:p>
        </w:tc>
        <w:tc>
          <w:tcPr>
            <w:tcW w:type="dxa" w:w="2520"/>
            <w:tcMar>
              <w:top w:w="80" w:type="dxa"/>
              <w:start w:w="90" w:type="dxa"/>
              <w:bottom w:w="80" w:type="dxa"/>
              <w:end w:w="90" w:type="dxa"/>
            </w:tcMar>
            <w:vAlign w:val="top"/>
          </w:tcPr>
          <w:p>
            <w:pPr>
              <w:spacing w:after="20"/>
            </w:pPr>
            <w:r>
              <w:rPr>
                <w:sz w:val="16"/>
              </w:rPr>
              <w:t>[7]</w:t>
            </w:r>
          </w:p>
        </w:tc>
      </w:tr>
      <w:tr>
        <w:tc>
          <w:tcPr>
            <w:tcW w:type="dxa" w:w="2520"/>
            <w:tcMar>
              <w:top w:w="80" w:type="dxa"/>
              <w:start w:w="90" w:type="dxa"/>
              <w:bottom w:w="80" w:type="dxa"/>
              <w:end w:w="90" w:type="dxa"/>
            </w:tcMar>
            <w:vAlign w:val="top"/>
          </w:tcPr>
          <w:p>
            <w:pPr>
              <w:spacing w:after="20"/>
            </w:pPr>
            <w:r>
              <w:rPr>
                <w:sz w:val="16"/>
              </w:rPr>
              <w:t>Dinomaly (CVPR 2025)</w:t>
            </w:r>
          </w:p>
        </w:tc>
        <w:tc>
          <w:tcPr>
            <w:tcW w:type="dxa" w:w="2520"/>
            <w:tcMar>
              <w:top w:w="80" w:type="dxa"/>
              <w:start w:w="90" w:type="dxa"/>
              <w:bottom w:w="80" w:type="dxa"/>
              <w:end w:w="90" w:type="dxa"/>
            </w:tcMar>
            <w:vAlign w:val="top"/>
          </w:tcPr>
          <w:p>
            <w:pPr>
              <w:spacing w:after="20"/>
            </w:pPr>
            <w:r>
              <w:rPr>
                <w:sz w:val="16"/>
              </w:rPr>
              <w:t>Foundation-transformer reconstruction reaches 99.6% image AUROC on MVTec-AD in a multi-class setting.</w:t>
            </w:r>
          </w:p>
        </w:tc>
        <w:tc>
          <w:tcPr>
            <w:tcW w:type="dxa" w:w="2520"/>
            <w:tcMar>
              <w:top w:w="80" w:type="dxa"/>
              <w:start w:w="90" w:type="dxa"/>
              <w:bottom w:w="80" w:type="dxa"/>
              <w:end w:w="90" w:type="dxa"/>
            </w:tcMar>
            <w:vAlign w:val="top"/>
          </w:tcPr>
          <w:p>
            <w:pPr>
              <w:spacing w:after="20"/>
            </w:pPr>
            <w:r>
              <w:rPr>
                <w:sz w:val="16"/>
              </w:rPr>
              <w:t>Supports a frozen dense-feature branch for heterogeneous terrain.</w:t>
            </w:r>
          </w:p>
        </w:tc>
        <w:tc>
          <w:tcPr>
            <w:tcW w:type="dxa" w:w="2520"/>
            <w:tcMar>
              <w:top w:w="80" w:type="dxa"/>
              <w:start w:w="90" w:type="dxa"/>
              <w:bottom w:w="80" w:type="dxa"/>
              <w:end w:w="90" w:type="dxa"/>
            </w:tcMar>
            <w:vAlign w:val="top"/>
          </w:tcPr>
          <w:p>
            <w:pPr>
              <w:spacing w:after="20"/>
            </w:pPr>
            <w:r>
              <w:rPr>
                <w:sz w:val="16"/>
              </w:rPr>
              <w:t>[8]</w:t>
            </w:r>
          </w:p>
        </w:tc>
      </w:tr>
      <w:tr>
        <w:tc>
          <w:tcPr>
            <w:tcW w:type="dxa" w:w="2520"/>
            <w:tcMar>
              <w:top w:w="80" w:type="dxa"/>
              <w:start w:w="90" w:type="dxa"/>
              <w:bottom w:w="80" w:type="dxa"/>
              <w:end w:w="90" w:type="dxa"/>
            </w:tcMar>
            <w:vAlign w:val="top"/>
          </w:tcPr>
          <w:p>
            <w:pPr>
              <w:spacing w:after="20"/>
            </w:pPr>
            <w:r>
              <w:rPr>
                <w:sz w:val="16"/>
              </w:rPr>
              <w:t>ContaminationAD (2026)</w:t>
            </w:r>
          </w:p>
        </w:tc>
        <w:tc>
          <w:tcPr>
            <w:tcW w:type="dxa" w:w="2520"/>
            <w:tcMar>
              <w:top w:w="80" w:type="dxa"/>
              <w:start w:w="90" w:type="dxa"/>
              <w:bottom w:w="80" w:type="dxa"/>
              <w:end w:w="90" w:type="dxa"/>
            </w:tcMar>
            <w:vAlign w:val="top"/>
          </w:tcPr>
          <w:p>
            <w:pPr>
              <w:spacing w:after="20"/>
            </w:pPr>
            <w:r>
              <w:rPr>
                <w:sz w:val="16"/>
              </w:rPr>
              <w:t>Targets unlabeled training sets that contain anomalous samples; uses pseudo-labeling and adaptive weighting.</w:t>
            </w:r>
          </w:p>
        </w:tc>
        <w:tc>
          <w:tcPr>
            <w:tcW w:type="dxa" w:w="2520"/>
            <w:tcMar>
              <w:top w:w="80" w:type="dxa"/>
              <w:start w:w="90" w:type="dxa"/>
              <w:bottom w:w="80" w:type="dxa"/>
              <w:end w:w="90" w:type="dxa"/>
            </w:tcMar>
            <w:vAlign w:val="top"/>
          </w:tcPr>
          <w:p>
            <w:pPr>
              <w:spacing w:after="20"/>
            </w:pPr>
            <w:r>
              <w:rPr>
                <w:sz w:val="16"/>
              </w:rPr>
              <w:t>Supports contamination-resistant pseudo-normal mining.</w:t>
            </w:r>
          </w:p>
        </w:tc>
        <w:tc>
          <w:tcPr>
            <w:tcW w:type="dxa" w:w="2520"/>
            <w:tcMar>
              <w:top w:w="80" w:type="dxa"/>
              <w:start w:w="90" w:type="dxa"/>
              <w:bottom w:w="80" w:type="dxa"/>
              <w:end w:w="90" w:type="dxa"/>
            </w:tcMar>
            <w:vAlign w:val="top"/>
          </w:tcPr>
          <w:p>
            <w:pPr>
              <w:spacing w:after="20"/>
            </w:pPr>
            <w:r>
              <w:rPr>
                <w:sz w:val="16"/>
              </w:rPr>
              <w:t>[9]</w:t>
            </w:r>
          </w:p>
        </w:tc>
      </w:tr>
      <w:tr>
        <w:tc>
          <w:tcPr>
            <w:tcW w:type="dxa" w:w="2520"/>
            <w:tcMar>
              <w:top w:w="80" w:type="dxa"/>
              <w:start w:w="90" w:type="dxa"/>
              <w:bottom w:w="80" w:type="dxa"/>
              <w:end w:w="90" w:type="dxa"/>
            </w:tcMar>
            <w:vAlign w:val="top"/>
          </w:tcPr>
          <w:p>
            <w:pPr>
              <w:spacing w:after="20"/>
            </w:pPr>
            <w:r>
              <w:rPr>
                <w:sz w:val="16"/>
              </w:rPr>
              <w:t>FE-CLIP (ICCV 2025)</w:t>
            </w:r>
          </w:p>
        </w:tc>
        <w:tc>
          <w:tcPr>
            <w:tcW w:type="dxa" w:w="2520"/>
            <w:tcMar>
              <w:top w:w="80" w:type="dxa"/>
              <w:start w:w="90" w:type="dxa"/>
              <w:bottom w:w="80" w:type="dxa"/>
              <w:end w:w="90" w:type="dxa"/>
            </w:tcMar>
            <w:vAlign w:val="top"/>
          </w:tcPr>
          <w:p>
            <w:pPr>
              <w:spacing w:after="20"/>
            </w:pPr>
            <w:r>
              <w:rPr>
                <w:sz w:val="16"/>
              </w:rPr>
              <w:t>Frequency information improves anomaly detection across diverse domains.</w:t>
            </w:r>
          </w:p>
        </w:tc>
        <w:tc>
          <w:tcPr>
            <w:tcW w:type="dxa" w:w="2520"/>
            <w:tcMar>
              <w:top w:w="80" w:type="dxa"/>
              <w:start w:w="90" w:type="dxa"/>
              <w:bottom w:w="80" w:type="dxa"/>
              <w:end w:w="90" w:type="dxa"/>
            </w:tcMar>
            <w:vAlign w:val="top"/>
          </w:tcPr>
          <w:p>
            <w:pPr>
              <w:spacing w:after="20"/>
            </w:pPr>
            <w:r>
              <w:rPr>
                <w:sz w:val="16"/>
              </w:rPr>
              <w:t>Supports a spectral branch, especially relevant to HiRISE striping/channel artifacts.</w:t>
            </w:r>
          </w:p>
        </w:tc>
        <w:tc>
          <w:tcPr>
            <w:tcW w:type="dxa" w:w="2520"/>
            <w:tcMar>
              <w:top w:w="80" w:type="dxa"/>
              <w:start w:w="90" w:type="dxa"/>
              <w:bottom w:w="80" w:type="dxa"/>
              <w:end w:w="90" w:type="dxa"/>
            </w:tcMar>
            <w:vAlign w:val="top"/>
          </w:tcPr>
          <w:p>
            <w:pPr>
              <w:spacing w:after="20"/>
            </w:pPr>
            <w:r>
              <w:rPr>
                <w:sz w:val="16"/>
              </w:rPr>
              <w:t>[10]</w:t>
            </w:r>
          </w:p>
        </w:tc>
      </w:tr>
    </w:tbl>
    <w:p>
      <w:r>
        <w:rPr>
          <w:b/>
        </w:rPr>
        <w:t xml:space="preserve">Planetary-specific lesson. </w:t>
      </w:r>
      <w:r>
        <w:t xml:space="preserve">The 2024 lunar work filtered poor acquisition conditions using metadata and used small spatial patches; it also showed why ranking is more meaningful than claiming one universal anomaly threshold. </w:t>
      </w:r>
      <w:r>
        <w:rPr>
          <w:sz w:val="14"/>
          <w:vertAlign w:val="superscript"/>
        </w:rPr>
        <w:t>[3]</w:t>
      </w:r>
    </w:p>
    <w:p>
      <w:r>
        <w:rPr>
          <w:b/>
        </w:rPr>
        <w:t xml:space="preserve">HiRISE-specific lesson. </w:t>
      </w:r>
      <w:r>
        <w:t xml:space="preserve">USGS documentation notes vertical striping, left/right channel tone differences, rectangular missing-data patches from transmission dropouts, and CCD-boundary artifacts in HiRISE products. These are exactly the sort of instrument anomalies that a frequency/geometry branch can identify. </w:t>
      </w:r>
      <w:r>
        <w:rPr>
          <w:sz w:val="14"/>
          <w:vertAlign w:val="superscript"/>
        </w:rPr>
        <w:t>[11]</w:t>
      </w:r>
    </w:p>
    <w:p>
      <w:pPr>
        <w:pStyle w:val="Heading1"/>
      </w:pPr>
      <w:r>
        <w:t>3. Why the obvious solutions are not enough</w:t>
      </w:r>
    </w:p>
    <w:p>
      <w:r>
        <w:rPr>
          <w:b/>
        </w:rPr>
        <w:t xml:space="preserve">Plain convolutional autoencoder: </w:t>
      </w:r>
      <w:r>
        <w:t>Fast and easy, but can learn an almost-identity mapping and reconstruct anomalies well; large legitimate Mars texture variation also produces false positives.</w:t>
      </w:r>
    </w:p>
    <w:p>
      <w:r>
        <w:rPr>
          <w:b/>
        </w:rPr>
        <w:t xml:space="preserve">β-VAE only: </w:t>
      </w:r>
      <w:r>
        <w:t>Scientifically defensible and directly validated on lunar imagery, but pixel reconstructions are blurry and a single Gaussian latent prior is a weak description of multiple Mars terrain modes.</w:t>
      </w:r>
    </w:p>
    <w:p>
      <w:r>
        <w:rPr>
          <w:b/>
        </w:rPr>
        <w:t xml:space="preserve">GAN / GANomaly only: </w:t>
      </w:r>
      <w:r>
        <w:t>Harder to train stably, mode collapse is especially dangerous when the goal is to represent the full diversity of normal terrain.</w:t>
      </w:r>
    </w:p>
    <w:p>
      <w:r>
        <w:rPr>
          <w:b/>
        </w:rPr>
        <w:t xml:space="preserve">PatchCore / Dinomaly only: </w:t>
      </w:r>
      <w:r>
        <w:t>Very strong anomaly baselines, but they are not the clearest response to an explicit deep-generative-model brief. Use them as feature scorers or baselines instead.</w:t>
      </w:r>
    </w:p>
    <w:p>
      <w:r>
        <w:rPr>
          <w:b/>
        </w:rPr>
        <w:t xml:space="preserve">One global diffusion model with raw pixel error: </w:t>
      </w:r>
      <w:r>
        <w:t>Powerful generator, but normal reconstruction can change illumination/texture and create false residuals; semantic and instrument artifacts need complementary signals.</w:t>
      </w:r>
    </w:p>
    <w:p>
      <w:pPr>
        <w:pStyle w:val="Heading1"/>
      </w:pPr>
      <w:r>
        <w:t>4. Proposed competition model: TCMD-SS</w:t>
      </w:r>
    </w:p>
    <w:p>
      <w:r>
        <w:rPr>
          <w:b/>
        </w:rPr>
        <w:t xml:space="preserve">Full name: </w:t>
      </w:r>
      <w:r>
        <w:t>Terrain-Conditioned Masked Diffusion with Semantic-Spectral Scoring. The key idea is to predict a counterfactual “what should this patch look like if it were normal Mars?” and then compare the observation with that normal reconstruction in three complementary spaces.</w:t>
      </w:r>
    </w:p>
    <w:tbl>
      <w:tblPr>
        <w:tblStyle w:val="TableGrid"/>
        <w:tblW w:type="auto" w:w="0"/>
        <w:jc w:val="center"/>
        <w:tblLook w:firstColumn="1" w:firstRow="1" w:lastColumn="0" w:lastRow="0" w:noHBand="0" w:noVBand="1" w:val="04A0"/>
      </w:tblPr>
      <w:tblGrid>
        <w:gridCol w:w="5040"/>
        <w:gridCol w:w="5040"/>
      </w:tblGrid>
      <w:tr>
        <w:tc>
          <w:tcPr>
            <w:tcW w:type="dxa" w:w="5040"/>
            <w:shd w:fill="E6E6E6"/>
          </w:tcPr>
          <w:p>
            <w:r>
              <w:rPr>
                <w:b/>
              </w:rPr>
              <w:t>Stage</w:t>
            </w:r>
          </w:p>
        </w:tc>
        <w:tc>
          <w:tcPr>
            <w:tcW w:type="dxa" w:w="5040"/>
            <w:shd w:fill="E6E6E6"/>
          </w:tcPr>
          <w:p>
            <w:r>
              <w:rPr>
                <w:b/>
              </w:rPr>
              <w:t>What to implement</w:t>
            </w:r>
          </w:p>
        </w:tc>
      </w:tr>
      <w:tr>
        <w:tc>
          <w:tcPr>
            <w:tcW w:type="dxa" w:w="5040"/>
            <w:tcMar>
              <w:top w:w="80" w:type="dxa"/>
              <w:start w:w="90" w:type="dxa"/>
              <w:bottom w:w="80" w:type="dxa"/>
              <w:end w:w="90" w:type="dxa"/>
            </w:tcMar>
          </w:tcPr>
          <w:p>
            <w:r>
              <w:rPr>
                <w:sz w:val="17"/>
              </w:rPr>
              <w:t>A. Valid-pixel + acquisition-aware preprocessing</w:t>
            </w:r>
          </w:p>
        </w:tc>
        <w:tc>
          <w:tcPr>
            <w:tcW w:type="dxa" w:w="5040"/>
            <w:tcMar>
              <w:top w:w="80" w:type="dxa"/>
              <w:start w:w="90" w:type="dxa"/>
              <w:bottom w:w="80" w:type="dxa"/>
              <w:end w:w="90" w:type="dxa"/>
            </w:tcMar>
          </w:tcPr>
          <w:p>
            <w:r>
              <w:rPr>
                <w:sz w:val="17"/>
              </w:rPr>
              <w:t>Preserve genuine sensor defects; mask only deterministic no-data/border pixels. Use global/robust intensity scaling rather than aggressive per-image normalization that could erase artifacts.</w:t>
            </w:r>
          </w:p>
        </w:tc>
      </w:tr>
      <w:tr>
        <w:tc>
          <w:tcPr>
            <w:tcW w:type="dxa" w:w="5040"/>
            <w:tcMar>
              <w:top w:w="80" w:type="dxa"/>
              <w:start w:w="90" w:type="dxa"/>
              <w:bottom w:w="80" w:type="dxa"/>
              <w:end w:w="90" w:type="dxa"/>
            </w:tcMar>
          </w:tcPr>
          <w:p>
            <w:r>
              <w:rPr>
                <w:sz w:val="17"/>
              </w:rPr>
              <w:t>B. Terrain representation</w:t>
            </w:r>
          </w:p>
        </w:tc>
        <w:tc>
          <w:tcPr>
            <w:tcW w:type="dxa" w:w="5040"/>
            <w:tcMar>
              <w:top w:w="80" w:type="dxa"/>
              <w:start w:w="90" w:type="dxa"/>
              <w:bottom w:w="80" w:type="dxa"/>
              <w:end w:w="90" w:type="dxa"/>
            </w:tcMar>
          </w:tcPr>
          <w:p>
            <w:r>
              <w:rPr>
                <w:sz w:val="17"/>
              </w:rPr>
              <w:t>Extract frozen DINOv3 patch features (DINOv2 fallback). Cluster image/patch embeddings into terrain modes; optionally condition on HiRISE metadata such as scale/incidence angle if available.</w:t>
            </w:r>
          </w:p>
        </w:tc>
      </w:tr>
      <w:tr>
        <w:tc>
          <w:tcPr>
            <w:tcW w:type="dxa" w:w="5040"/>
            <w:tcMar>
              <w:top w:w="80" w:type="dxa"/>
              <w:start w:w="90" w:type="dxa"/>
              <w:bottom w:w="80" w:type="dxa"/>
              <w:end w:w="90" w:type="dxa"/>
            </w:tcMar>
          </w:tcPr>
          <w:p>
            <w:r>
              <w:rPr>
                <w:sz w:val="17"/>
              </w:rPr>
              <w:t>C. Pseudo-normal mining</w:t>
            </w:r>
          </w:p>
        </w:tc>
        <w:tc>
          <w:tcPr>
            <w:tcW w:type="dxa" w:w="5040"/>
            <w:tcMar>
              <w:top w:w="80" w:type="dxa"/>
              <w:start w:w="90" w:type="dxa"/>
              <w:bottom w:w="80" w:type="dxa"/>
              <w:end w:w="90" w:type="dxa"/>
            </w:tcMar>
          </w:tcPr>
          <w:p>
            <w:r>
              <w:rPr>
                <w:sz w:val="17"/>
              </w:rPr>
              <w:t>Within each terrain cluster, compute robust kNN/latent outlier scores. Down-weight the extreme tail instead of deleting globally rare terrain. Iterate once after the first generative model.</w:t>
            </w:r>
          </w:p>
        </w:tc>
      </w:tr>
      <w:tr>
        <w:tc>
          <w:tcPr>
            <w:tcW w:type="dxa" w:w="5040"/>
            <w:tcMar>
              <w:top w:w="80" w:type="dxa"/>
              <w:start w:w="90" w:type="dxa"/>
              <w:bottom w:w="80" w:type="dxa"/>
              <w:end w:w="90" w:type="dxa"/>
            </w:tcMar>
          </w:tcPr>
          <w:p>
            <w:r>
              <w:rPr>
                <w:sz w:val="17"/>
              </w:rPr>
              <w:t>D. Generative backbone</w:t>
            </w:r>
          </w:p>
        </w:tc>
        <w:tc>
          <w:tcPr>
            <w:tcW w:type="dxa" w:w="5040"/>
            <w:tcMar>
              <w:top w:w="80" w:type="dxa"/>
              <w:start w:w="90" w:type="dxa"/>
              <w:bottom w:w="80" w:type="dxa"/>
              <w:end w:w="90" w:type="dxa"/>
            </w:tcMar>
          </w:tcPr>
          <w:p>
            <w:r>
              <w:rPr>
                <w:sz w:val="17"/>
              </w:rPr>
              <w:t>Use a compact latent autoencoder + masked/partial diffusion denoiser. Corrupt only selected regions using multi-scale masks and simplex/noise schedules, so the model learns contextual normal completion rather than identity copying.</w:t>
            </w:r>
          </w:p>
        </w:tc>
      </w:tr>
      <w:tr>
        <w:tc>
          <w:tcPr>
            <w:tcW w:type="dxa" w:w="5040"/>
            <w:tcMar>
              <w:top w:w="80" w:type="dxa"/>
              <w:start w:w="90" w:type="dxa"/>
              <w:bottom w:w="80" w:type="dxa"/>
              <w:end w:w="90" w:type="dxa"/>
            </w:tcMar>
          </w:tcPr>
          <w:p>
            <w:r>
              <w:rPr>
                <w:sz w:val="17"/>
              </w:rPr>
              <w:t>E. Multi-mask inference</w:t>
            </w:r>
          </w:p>
        </w:tc>
        <w:tc>
          <w:tcPr>
            <w:tcW w:type="dxa" w:w="5040"/>
            <w:tcMar>
              <w:top w:w="80" w:type="dxa"/>
              <w:start w:w="90" w:type="dxa"/>
              <w:bottom w:w="80" w:type="dxa"/>
              <w:end w:w="90" w:type="dxa"/>
            </w:tcMar>
          </w:tcPr>
          <w:p>
            <w:r>
              <w:rPr>
                <w:sz w:val="17"/>
              </w:rPr>
              <w:t>Reconstruct each image several times with shifted masks and 2–3 mask scales. Aggregate reconstructions with a robust median/trimmed mean to produce the normal counterfactual.</w:t>
            </w:r>
          </w:p>
        </w:tc>
      </w:tr>
      <w:tr>
        <w:tc>
          <w:tcPr>
            <w:tcW w:type="dxa" w:w="5040"/>
            <w:tcMar>
              <w:top w:w="80" w:type="dxa"/>
              <w:start w:w="90" w:type="dxa"/>
              <w:bottom w:w="80" w:type="dxa"/>
              <w:end w:w="90" w:type="dxa"/>
            </w:tcMar>
          </w:tcPr>
          <w:p>
            <w:r>
              <w:rPr>
                <w:sz w:val="17"/>
              </w:rPr>
              <w:t>F. Three anomaly maps</w:t>
            </w:r>
          </w:p>
        </w:tc>
        <w:tc>
          <w:tcPr>
            <w:tcW w:type="dxa" w:w="5040"/>
            <w:tcMar>
              <w:top w:w="80" w:type="dxa"/>
              <w:start w:w="90" w:type="dxa"/>
              <w:bottom w:w="80" w:type="dxa"/>
              <w:end w:w="90" w:type="dxa"/>
            </w:tcMar>
          </w:tcPr>
          <w:p>
            <w:r>
              <w:rPr>
                <w:sz w:val="17"/>
              </w:rPr>
              <w:t>1) spatial reconstruction map, 2) semantic DINO feature discrepancy map, 3) frequency/DCT or wavelet deviation map.</w:t>
            </w:r>
          </w:p>
        </w:tc>
      </w:tr>
      <w:tr>
        <w:tc>
          <w:tcPr>
            <w:tcW w:type="dxa" w:w="5040"/>
            <w:tcMar>
              <w:top w:w="80" w:type="dxa"/>
              <w:start w:w="90" w:type="dxa"/>
              <w:bottom w:w="80" w:type="dxa"/>
              <w:end w:w="90" w:type="dxa"/>
            </w:tcMar>
          </w:tcPr>
          <w:p>
            <w:r>
              <w:rPr>
                <w:sz w:val="17"/>
              </w:rPr>
              <w:t>G. Terrain-aware score fusion</w:t>
            </w:r>
          </w:p>
        </w:tc>
        <w:tc>
          <w:tcPr>
            <w:tcW w:type="dxa" w:w="5040"/>
            <w:tcMar>
              <w:top w:w="80" w:type="dxa"/>
              <w:start w:w="90" w:type="dxa"/>
              <w:bottom w:w="80" w:type="dxa"/>
              <w:end w:w="90" w:type="dxa"/>
            </w:tcMar>
          </w:tcPr>
          <w:p>
            <w:r>
              <w:rPr>
                <w:sz w:val="17"/>
              </w:rPr>
              <w:t>Standardize each score within the nearest terrain cluster and learn only the fusion weights on synthetic anomalies. Use top-k pixel pooling for the final image score so small defects are not diluted.</w:t>
            </w:r>
          </w:p>
        </w:tc>
      </w:tr>
      <w:tr>
        <w:tc>
          <w:tcPr>
            <w:tcW w:type="dxa" w:w="5040"/>
            <w:tcMar>
              <w:top w:w="80" w:type="dxa"/>
              <w:start w:w="90" w:type="dxa"/>
              <w:bottom w:w="80" w:type="dxa"/>
              <w:end w:w="90" w:type="dxa"/>
            </w:tcMar>
          </w:tcPr>
          <w:p>
            <w:r>
              <w:rPr>
                <w:sz w:val="17"/>
              </w:rPr>
              <w:t>H. Explanation panel</w:t>
            </w:r>
          </w:p>
        </w:tc>
        <w:tc>
          <w:tcPr>
            <w:tcW w:type="dxa" w:w="5040"/>
            <w:tcMar>
              <w:top w:w="80" w:type="dxa"/>
              <w:start w:w="90" w:type="dxa"/>
              <w:bottom w:w="80" w:type="dxa"/>
              <w:end w:w="90" w:type="dxa"/>
            </w:tcMar>
          </w:tcPr>
          <w:p>
            <w:r>
              <w:rPr>
                <w:sz w:val="17"/>
              </w:rPr>
              <w:t>Show original, counterfactual reconstruction, heatmap, overlay, nearest normal neighbors, and a score breakdown indicating whether the alert is primarily structural, semantic, or spectral.</w:t>
            </w:r>
          </w:p>
        </w:tc>
      </w:tr>
    </w:tbl>
    <w:p>
      <w:pPr>
        <w:pStyle w:val="Heading1"/>
      </w:pPr>
      <w:r>
        <w:t>5. The three branches, matched to the stated anomalies</w:t>
      </w:r>
    </w:p>
    <w:p>
      <w:r>
        <w:rPr>
          <w:b/>
        </w:rPr>
        <w:t xml:space="preserve">Branch 1 — Generative structural reconstruction. </w:t>
      </w:r>
      <w:r>
        <w:t xml:space="preserve">The masked diffusion model sees surrounding terrain and synthesizes the most likely normal content for the hidden region. Corrupted crops, pasted content, missing blocks, and unusual structures should therefore be replaced by plausible Martian texture. The residual becomes an anomaly map. DeCo-Diff is a strong implementation reference because it specifically targets selective correction of anomalous regions rather than degrading the whole image. </w:t>
      </w:r>
      <w:r>
        <w:rPr>
          <w:sz w:val="14"/>
          <w:vertAlign w:val="superscript"/>
        </w:rPr>
        <w:t>[7]</w:t>
      </w:r>
    </w:p>
    <w:p>
      <w:r>
        <w:rPr>
          <w:b/>
        </w:rPr>
        <w:t xml:space="preserve">Branch 2 — Semantic discrepancy. </w:t>
      </w:r>
      <w:r>
        <w:t xml:space="preserve">Compare dense DINOv3 features of the observed image and the generated normal counterpart. This catches cases where pixel colors are plausible but the structure is semantically foreign. DINOv3 is a self-supervised dense vision backbone, and Meta reports applications of DINO technology at NASA JPL for Mars exploration vision tasks. </w:t>
      </w:r>
      <w:r>
        <w:rPr>
          <w:sz w:val="14"/>
          <w:vertAlign w:val="superscript"/>
        </w:rPr>
        <w:t>[12]</w:t>
      </w:r>
    </w:p>
    <w:p>
      <w:r>
        <w:rPr>
          <w:b/>
        </w:rPr>
        <w:t xml:space="preserve">Branch 3 — Spectral / instrument discrepancy. </w:t>
      </w:r>
      <w:r>
        <w:t xml:space="preserve">Compute local DCT or wavelet statistics and compare them to terrain-conditioned normal frequency distributions. Periodic vertical striping, channel seams, packet/dropout geometry, and high-frequency electronic noise can be much more obvious in the frequency domain than in semantic embeddings. HiRISE documentation explicitly records these artifact families, and recent anomaly research supports frequency-aware clues. </w:t>
      </w:r>
      <w:r>
        <w:rPr>
          <w:sz w:val="14"/>
          <w:vertAlign w:val="superscript"/>
        </w:rPr>
        <w:t>[10]</w:t>
      </w:r>
      <w:r>
        <w:rPr>
          <w:sz w:val="14"/>
          <w:vertAlign w:val="superscript"/>
        </w:rPr>
        <w:t>[11]</w:t>
      </w:r>
    </w:p>
    <w:p>
      <w:pPr>
        <w:pStyle w:val="Heading1"/>
      </w:pPr>
      <w:r>
        <w:t>6. Scoring design</w:t>
      </w:r>
    </w:p>
    <w:p>
      <w:r>
        <w:rPr>
          <w:b/>
        </w:rPr>
        <w:t>For each pixel/patch, compute four standardized scores:</w:t>
      </w:r>
    </w:p>
    <w:p>
      <w:pPr>
        <w:pStyle w:val="ListBullet"/>
        <w:spacing w:after="60"/>
      </w:pPr>
      <w:r>
        <w:t>S_spatial: robust L1/Charbonnier residual + (1 − SSIM) + edge/gradient difference.</w:t>
      </w:r>
    </w:p>
    <w:p>
      <w:pPr>
        <w:pStyle w:val="ListBullet"/>
        <w:spacing w:after="60"/>
      </w:pPr>
      <w:r>
        <w:t>S_semantic: cosine distance between dense foundation-model features of observed and reconstructed patches.</w:t>
      </w:r>
    </w:p>
    <w:p>
      <w:pPr>
        <w:pStyle w:val="ListBullet"/>
        <w:spacing w:after="60"/>
      </w:pPr>
      <w:r>
        <w:t>S_frequency: robust distance of local log-DCT/wavelet statistics from the nearest terrain mode.</w:t>
      </w:r>
    </w:p>
    <w:p>
      <w:pPr>
        <w:pStyle w:val="ListBullet"/>
        <w:spacing w:after="60"/>
      </w:pPr>
      <w:r>
        <w:t>S_latent: robust Mahalanobis/kNN distance of the image latent code from its terrain cluster.</w:t>
      </w:r>
    </w:p>
    <w:p>
      <w:r>
        <w:rPr>
          <w:b/>
        </w:rPr>
        <w:t xml:space="preserve">Final score: </w:t>
      </w:r>
      <w:r>
        <w:t>standardize scores per terrain mode, then learn a small non-negative linear fusion on synthetic validation anomalies. For image ranking, use the mean of the top 0.5–2% anomaly-map pixels (tuned on validation) rather than a full-image mean, which would hide small anomalies.</w:t>
      </w:r>
    </w:p>
    <w:p>
      <w:pPr>
        <w:pStyle w:val="KeyPoint"/>
      </w:pPr>
      <w:r>
        <w:rPr>
          <w:b/>
        </w:rPr>
        <w:t xml:space="preserve">Do not hand-pick final fusion weights in the report. </w:t>
      </w:r>
      <w:r>
        <w:t>Show that they were selected on a synthetic validation suite created without using real anomaly labels. That is much easier to defend scientifically.</w:t>
      </w:r>
    </w:p>
    <w:p>
      <w:pPr>
        <w:pStyle w:val="Heading1"/>
      </w:pPr>
      <w:r>
        <w:t>7. Mars-specific synthetic anomaly laboratory</w:t>
      </w:r>
    </w:p>
    <w:p>
      <w:r>
        <w:t>This is the part that makes the submission feel designed for HiRISE rather than copied from an industrial-defect benchmark. Generate anomalies only for calibration, stress testing, and optionally a lightweight segmentation head; the generative model itself still learns normal imagery.</w:t>
      </w:r>
    </w:p>
    <w:tbl>
      <w:tblPr>
        <w:tblStyle w:val="TableGrid"/>
        <w:tblW w:type="auto" w:w="0"/>
        <w:jc w:val="center"/>
        <w:tblLook w:firstColumn="1" w:firstRow="1" w:lastColumn="0" w:lastRow="0" w:noHBand="0" w:noVBand="1" w:val="04A0"/>
      </w:tblPr>
      <w:tblGrid>
        <w:gridCol w:w="5040"/>
        <w:gridCol w:w="5040"/>
      </w:tblGrid>
      <w:tr>
        <w:tc>
          <w:tcPr>
            <w:tcW w:type="dxa" w:w="5040"/>
            <w:shd w:fill="E6E6E6"/>
          </w:tcPr>
          <w:p>
            <w:r>
              <w:rPr>
                <w:b/>
              </w:rPr>
              <w:t>Synthetic family</w:t>
            </w:r>
          </w:p>
        </w:tc>
        <w:tc>
          <w:tcPr>
            <w:tcW w:type="dxa" w:w="5040"/>
            <w:shd w:fill="E6E6E6"/>
          </w:tcPr>
          <w:p>
            <w:r>
              <w:rPr>
                <w:b/>
              </w:rPr>
              <w:t>Implementation</w:t>
            </w:r>
          </w:p>
        </w:tc>
      </w:tr>
      <w:tr>
        <w:tc>
          <w:tcPr>
            <w:tcW w:type="dxa" w:w="5040"/>
            <w:tcMar>
              <w:top w:w="80" w:type="dxa"/>
              <w:start w:w="90" w:type="dxa"/>
              <w:bottom w:w="80" w:type="dxa"/>
              <w:end w:w="90" w:type="dxa"/>
            </w:tcMar>
          </w:tcPr>
          <w:p>
            <w:r>
              <w:rPr>
                <w:sz w:val="17"/>
              </w:rPr>
              <w:t>Sensor striping</w:t>
            </w:r>
          </w:p>
        </w:tc>
        <w:tc>
          <w:tcPr>
            <w:tcW w:type="dxa" w:w="5040"/>
            <w:tcMar>
              <w:top w:w="80" w:type="dxa"/>
              <w:start w:w="90" w:type="dxa"/>
              <w:bottom w:w="80" w:type="dxa"/>
              <w:end w:w="90" w:type="dxa"/>
            </w:tcMar>
          </w:tcPr>
          <w:p>
            <w:r>
              <w:rPr>
                <w:sz w:val="17"/>
              </w:rPr>
              <w:t>Vertical/horizontal narrow bands; periodic amplitude/frequency changes; channel-tone offsets.</w:t>
            </w:r>
          </w:p>
        </w:tc>
      </w:tr>
      <w:tr>
        <w:tc>
          <w:tcPr>
            <w:tcW w:type="dxa" w:w="5040"/>
            <w:tcMar>
              <w:top w:w="80" w:type="dxa"/>
              <w:start w:w="90" w:type="dxa"/>
              <w:bottom w:w="80" w:type="dxa"/>
              <w:end w:w="90" w:type="dxa"/>
            </w:tcMar>
          </w:tcPr>
          <w:p>
            <w:r>
              <w:rPr>
                <w:sz w:val="17"/>
              </w:rPr>
              <w:t>Transmission dropout</w:t>
            </w:r>
          </w:p>
        </w:tc>
        <w:tc>
          <w:tcPr>
            <w:tcW w:type="dxa" w:w="5040"/>
            <w:tcMar>
              <w:top w:w="80" w:type="dxa"/>
              <w:start w:w="90" w:type="dxa"/>
              <w:bottom w:w="80" w:type="dxa"/>
              <w:end w:w="90" w:type="dxa"/>
            </w:tcMar>
          </w:tcPr>
          <w:p>
            <w:r>
              <w:rPr>
                <w:sz w:val="17"/>
              </w:rPr>
              <w:t>Rectangular missing blocks, line gaps, or repeated/zero-filled regions; vary size and location.</w:t>
            </w:r>
          </w:p>
        </w:tc>
      </w:tr>
      <w:tr>
        <w:tc>
          <w:tcPr>
            <w:tcW w:type="dxa" w:w="5040"/>
            <w:tcMar>
              <w:top w:w="80" w:type="dxa"/>
              <w:start w:w="90" w:type="dxa"/>
              <w:bottom w:w="80" w:type="dxa"/>
              <w:end w:w="90" w:type="dxa"/>
            </w:tcMar>
          </w:tcPr>
          <w:p>
            <w:r>
              <w:rPr>
                <w:sz w:val="17"/>
              </w:rPr>
              <w:t>CCD seam / stitch error</w:t>
            </w:r>
          </w:p>
        </w:tc>
        <w:tc>
          <w:tcPr>
            <w:tcW w:type="dxa" w:w="5040"/>
            <w:tcMar>
              <w:top w:w="80" w:type="dxa"/>
              <w:start w:w="90" w:type="dxa"/>
              <w:bottom w:w="80" w:type="dxa"/>
              <w:end w:w="90" w:type="dxa"/>
            </w:tcMar>
          </w:tcPr>
          <w:p>
            <w:r>
              <w:rPr>
                <w:sz w:val="17"/>
              </w:rPr>
              <w:t>Sharp or gradual intensity discontinuities with long linear geometry.</w:t>
            </w:r>
          </w:p>
        </w:tc>
      </w:tr>
      <w:tr>
        <w:tc>
          <w:tcPr>
            <w:tcW w:type="dxa" w:w="5040"/>
            <w:tcMar>
              <w:top w:w="80" w:type="dxa"/>
              <w:start w:w="90" w:type="dxa"/>
              <w:bottom w:w="80" w:type="dxa"/>
              <w:end w:w="90" w:type="dxa"/>
            </w:tcMar>
          </w:tcPr>
          <w:p>
            <w:r>
              <w:rPr>
                <w:sz w:val="17"/>
              </w:rPr>
              <w:t>Corrupted crop</w:t>
            </w:r>
          </w:p>
        </w:tc>
        <w:tc>
          <w:tcPr>
            <w:tcW w:type="dxa" w:w="5040"/>
            <w:tcMar>
              <w:top w:w="80" w:type="dxa"/>
              <w:start w:w="90" w:type="dxa"/>
              <w:bottom w:w="80" w:type="dxa"/>
              <w:end w:w="90" w:type="dxa"/>
            </w:tcMar>
          </w:tcPr>
          <w:p>
            <w:r>
              <w:rPr>
                <w:sz w:val="17"/>
              </w:rPr>
              <w:t>Resize/stretch, partial rotation, local blur, local saturation, block shuffle, wrong padding, JPEG-like block corruption.</w:t>
            </w:r>
          </w:p>
        </w:tc>
      </w:tr>
      <w:tr>
        <w:tc>
          <w:tcPr>
            <w:tcW w:type="dxa" w:w="5040"/>
            <w:tcMar>
              <w:top w:w="80" w:type="dxa"/>
              <w:start w:w="90" w:type="dxa"/>
              <w:bottom w:w="80" w:type="dxa"/>
              <w:end w:w="90" w:type="dxa"/>
            </w:tcMar>
          </w:tcPr>
          <w:p>
            <w:r>
              <w:rPr>
                <w:sz w:val="17"/>
              </w:rPr>
              <w:t>Non-Martian contamination</w:t>
            </w:r>
          </w:p>
        </w:tc>
        <w:tc>
          <w:tcPr>
            <w:tcW w:type="dxa" w:w="5040"/>
            <w:tcMar>
              <w:top w:w="80" w:type="dxa"/>
              <w:start w:w="90" w:type="dxa"/>
              <w:bottom w:w="80" w:type="dxa"/>
              <w:end w:w="90" w:type="dxa"/>
            </w:tcMar>
          </w:tcPr>
          <w:p>
            <w:r>
              <w:rPr>
                <w:sz w:val="17"/>
              </w:rPr>
              <w:t>CutPaste external textures/objects or geometric symbols into Mars patches; random alpha blending and scale.</w:t>
            </w:r>
          </w:p>
        </w:tc>
      </w:tr>
      <w:tr>
        <w:tc>
          <w:tcPr>
            <w:tcW w:type="dxa" w:w="5040"/>
            <w:tcMar>
              <w:top w:w="80" w:type="dxa"/>
              <w:start w:w="90" w:type="dxa"/>
              <w:bottom w:w="80" w:type="dxa"/>
              <w:end w:w="90" w:type="dxa"/>
            </w:tcMar>
          </w:tcPr>
          <w:p>
            <w:r>
              <w:rPr>
                <w:sz w:val="17"/>
              </w:rPr>
              <w:t>Subtle local anomaly</w:t>
            </w:r>
          </w:p>
        </w:tc>
        <w:tc>
          <w:tcPr>
            <w:tcW w:type="dxa" w:w="5040"/>
            <w:tcMar>
              <w:top w:w="80" w:type="dxa"/>
              <w:start w:w="90" w:type="dxa"/>
              <w:bottom w:w="80" w:type="dxa"/>
              <w:end w:w="90" w:type="dxa"/>
            </w:tcMar>
          </w:tcPr>
          <w:p>
            <w:r>
              <w:rPr>
                <w:sz w:val="17"/>
              </w:rPr>
              <w:t>Small contrast/texture perturbations at multiple scales to ensure the detector is not tuned only to obvious corruption.</w:t>
            </w:r>
          </w:p>
        </w:tc>
      </w:tr>
    </w:tbl>
    <w:p>
      <w:r>
        <w:rPr>
          <w:b/>
        </w:rPr>
        <w:t xml:space="preserve">Research basis: </w:t>
      </w:r>
      <w:r>
        <w:t xml:space="preserve">CutPaste and DRAEM show that synthetic perturbations can support self-supervised anomaly learning; AnoDDPM shows that multi-scale simplex noise is useful when anomalies vary in spatial size. </w:t>
      </w:r>
      <w:r>
        <w:rPr>
          <w:sz w:val="14"/>
          <w:vertAlign w:val="superscript"/>
        </w:rPr>
        <w:t>[6]</w:t>
      </w:r>
      <w:r>
        <w:rPr>
          <w:sz w:val="14"/>
          <w:vertAlign w:val="superscript"/>
        </w:rPr>
        <w:t>[13]</w:t>
      </w:r>
    </w:p>
    <w:p>
      <w:pPr>
        <w:pStyle w:val="Heading1"/>
      </w:pPr>
      <w:r>
        <w:t>8. Handling contaminated training data</w:t>
      </w:r>
    </w:p>
    <w:p>
      <w:r>
        <w:rPr>
          <w:b/>
        </w:rPr>
        <w:t xml:space="preserve">This is likely the most important “non-generic” improvement. </w:t>
      </w:r>
      <w:r>
        <w:t xml:space="preserve">If anomalies are hidden inside the same unlabeled archive, standard UAD assumptions are violated. A generator trained blindly on every sample may memorize recurring defects and stop flagging them. Recent ContaminationAD work explicitly documents this failure mode. </w:t>
      </w:r>
      <w:r>
        <w:rPr>
          <w:sz w:val="14"/>
          <w:vertAlign w:val="superscript"/>
        </w:rPr>
        <w:t>[9]</w:t>
      </w:r>
    </w:p>
    <w:p>
      <w:pPr>
        <w:pStyle w:val="ListNumber"/>
        <w:spacing w:after="80"/>
      </w:pPr>
      <w:r>
        <w:t>Extract frozen DINO features for every image and cluster into terrain modes.</w:t>
      </w:r>
    </w:p>
    <w:p>
      <w:pPr>
        <w:pStyle w:val="ListNumber"/>
        <w:spacing w:after="80"/>
      </w:pPr>
      <w:r>
        <w:t>Within each cluster, calculate local kNN distance and robust median/MAD z-scores.</w:t>
      </w:r>
    </w:p>
    <w:p>
      <w:pPr>
        <w:pStyle w:val="ListNumber"/>
        <w:spacing w:after="80"/>
      </w:pPr>
      <w:r>
        <w:t>Down-weight only the extreme outlier tail inside each cluster. Avoid a single global filter, which can mistakenly remove legitimate rare terrain.</w:t>
      </w:r>
    </w:p>
    <w:p>
      <w:pPr>
        <w:pStyle w:val="ListNumber"/>
        <w:spacing w:after="80"/>
      </w:pPr>
      <w:r>
        <w:t>Train V2/V3 using weighted losses or cluster-wise trimmed reconstruction losses.</w:t>
      </w:r>
    </w:p>
    <w:p>
      <w:pPr>
        <w:pStyle w:val="ListNumber"/>
        <w:spacing w:after="80"/>
      </w:pPr>
      <w:r>
        <w:t>After the first model converges, recompute generative anomaly scores and perform one refinement pass. Stop after one or two iterations to avoid confirmation bias.</w:t>
      </w:r>
    </w:p>
    <w:p>
      <w:pPr>
        <w:pStyle w:val="Heading1"/>
      </w:pPr>
      <w:r>
        <w:t>9. Three-version evolution that satisfies the changelog</w:t>
      </w:r>
    </w:p>
    <w:p>
      <w:r>
        <w:rPr>
          <w:b/>
        </w:rPr>
        <w:t>V1 — Convolutional Autoencoder / β-VAE baseline</w:t>
      </w:r>
    </w:p>
    <w:p>
      <w:pPr>
        <w:pStyle w:val="ListBullet2"/>
        <w:spacing w:after="60"/>
      </w:pPr>
      <w:r>
        <w:t>Symptom: blurry reconstruction, false alarms on rare terrain, some anomalies reconstructed too well.</w:t>
      </w:r>
    </w:p>
    <w:p>
      <w:pPr>
        <w:pStyle w:val="ListBullet2"/>
        <w:spacing w:after="60"/>
      </w:pPr>
      <w:r>
        <w:t>Diagnosis: global pixel model is too permissive and ignores multiple terrain modes.</w:t>
      </w:r>
    </w:p>
    <w:p>
      <w:pPr>
        <w:pStyle w:val="ListBullet2"/>
        <w:spacing w:after="60"/>
      </w:pPr>
      <w:r>
        <w:t>Fix for V2: masked reconstruction + stronger latent representation + cluster-aware scoring.</w:t>
      </w:r>
    </w:p>
    <w:p>
      <w:r>
        <w:rPr>
          <w:b/>
        </w:rPr>
        <w:t>V2 — Masked Autoencoder + terrain-aware DINO scoring</w:t>
      </w:r>
    </w:p>
    <w:p>
      <w:pPr>
        <w:pStyle w:val="ListBullet2"/>
        <w:spacing w:after="60"/>
      </w:pPr>
      <w:r>
        <w:t>Symptom: semantic/non-Martian anomalies improve, but sensor striping and some corruptions remain inconsistent; MAE can still produce overly smooth normal reconstructions.</w:t>
      </w:r>
    </w:p>
    <w:p>
      <w:pPr>
        <w:pStyle w:val="ListBullet2"/>
        <w:spacing w:after="60"/>
      </w:pPr>
      <w:r>
        <w:t>Diagnosis: one deterministic reconstruction does not model uncertainty or instrument-frequency artifacts.</w:t>
      </w:r>
    </w:p>
    <w:p>
      <w:pPr>
        <w:pStyle w:val="ListBullet2"/>
        <w:spacing w:after="60"/>
      </w:pPr>
      <w:r>
        <w:t>Fix for V3: partial masked diffusion + spectral branch + contamination-resistant training.</w:t>
      </w:r>
    </w:p>
    <w:p>
      <w:r>
        <w:rPr>
          <w:b/>
        </w:rPr>
        <w:t>V3 — TCMD-SS final</w:t>
      </w:r>
    </w:p>
    <w:p>
      <w:pPr>
        <w:pStyle w:val="ListBullet2"/>
        <w:spacing w:after="60"/>
      </w:pPr>
      <w:r>
        <w:t>Symptom addressed: heterogeneous terrain, contaminated training, multiple anomaly mechanisms, explainability.</w:t>
      </w:r>
    </w:p>
    <w:p>
      <w:pPr>
        <w:pStyle w:val="ListBullet2"/>
        <w:spacing w:after="60"/>
      </w:pPr>
      <w:r>
        <w:t>Diagnosis: anomaly detection needs separate structural, semantic and spectral evidence.</w:t>
      </w:r>
    </w:p>
    <w:p>
      <w:pPr>
        <w:pStyle w:val="ListBullet2"/>
        <w:spacing w:after="60"/>
      </w:pPr>
      <w:r>
        <w:t>Fix: terrain-conditioned masked diffusion, dense semantic residuals, frequency statistics, robust fusion, and counterfactual explanations.</w:t>
      </w:r>
    </w:p>
    <w:p>
      <w:pPr>
        <w:pStyle w:val="Heading1"/>
      </w:pPr>
      <w:r>
        <w:t>10. Experiments and ablations judges can trust</w:t>
      </w:r>
    </w:p>
    <w:tbl>
      <w:tblPr>
        <w:tblStyle w:val="TableGrid"/>
        <w:tblW w:type="auto" w:w="0"/>
        <w:jc w:val="center"/>
        <w:tblLook w:firstColumn="1" w:firstRow="1" w:lastColumn="0" w:lastRow="0" w:noHBand="0" w:noVBand="1" w:val="04A0"/>
      </w:tblPr>
      <w:tblGrid>
        <w:gridCol w:w="5040"/>
        <w:gridCol w:w="5040"/>
      </w:tblGrid>
      <w:tr>
        <w:tc>
          <w:tcPr>
            <w:tcW w:type="dxa" w:w="5040"/>
            <w:shd w:fill="E6E6E6"/>
          </w:tcPr>
          <w:p>
            <w:r>
              <w:rPr>
                <w:b/>
              </w:rPr>
              <w:t>Experiment</w:t>
            </w:r>
          </w:p>
        </w:tc>
        <w:tc>
          <w:tcPr>
            <w:tcW w:type="dxa" w:w="5040"/>
            <w:shd w:fill="E6E6E6"/>
          </w:tcPr>
          <w:p>
            <w:r>
              <w:rPr>
                <w:b/>
              </w:rPr>
              <w:t>What it proves</w:t>
            </w:r>
          </w:p>
        </w:tc>
      </w:tr>
      <w:tr>
        <w:tc>
          <w:tcPr>
            <w:tcW w:type="dxa" w:w="5040"/>
            <w:tcMar>
              <w:top w:w="80" w:type="dxa"/>
              <w:start w:w="90" w:type="dxa"/>
              <w:bottom w:w="80" w:type="dxa"/>
              <w:end w:w="90" w:type="dxa"/>
            </w:tcMar>
          </w:tcPr>
          <w:p>
            <w:r>
              <w:rPr>
                <w:sz w:val="16"/>
              </w:rPr>
              <w:t>Baseline comparison</w:t>
            </w:r>
          </w:p>
        </w:tc>
        <w:tc>
          <w:tcPr>
            <w:tcW w:type="dxa" w:w="5040"/>
            <w:tcMar>
              <w:top w:w="80" w:type="dxa"/>
              <w:start w:w="90" w:type="dxa"/>
              <w:bottom w:w="80" w:type="dxa"/>
              <w:end w:w="90" w:type="dxa"/>
            </w:tcMar>
          </w:tcPr>
          <w:p>
            <w:r>
              <w:rPr>
                <w:sz w:val="16"/>
              </w:rPr>
              <w:t>CAE/β-VAE, MAE, DINO/PatchCore or Dinomaly, diffusion-only, final TCMD-SS.</w:t>
            </w:r>
          </w:p>
        </w:tc>
      </w:tr>
      <w:tr>
        <w:tc>
          <w:tcPr>
            <w:tcW w:type="dxa" w:w="5040"/>
            <w:tcMar>
              <w:top w:w="80" w:type="dxa"/>
              <w:start w:w="90" w:type="dxa"/>
              <w:bottom w:w="80" w:type="dxa"/>
              <w:end w:w="90" w:type="dxa"/>
            </w:tcMar>
          </w:tcPr>
          <w:p>
            <w:r>
              <w:rPr>
                <w:sz w:val="16"/>
              </w:rPr>
              <w:t>Synthetic anomaly AUROC/AUPRC</w:t>
            </w:r>
          </w:p>
        </w:tc>
        <w:tc>
          <w:tcPr>
            <w:tcW w:type="dxa" w:w="5040"/>
            <w:tcMar>
              <w:top w:w="80" w:type="dxa"/>
              <w:start w:w="90" w:type="dxa"/>
              <w:bottom w:w="80" w:type="dxa"/>
              <w:end w:w="90" w:type="dxa"/>
            </w:tcMar>
          </w:tcPr>
          <w:p>
            <w:r>
              <w:rPr>
                <w:sz w:val="16"/>
              </w:rPr>
              <w:t>Image-level ranking across each synthetic anomaly family.</w:t>
            </w:r>
          </w:p>
        </w:tc>
      </w:tr>
      <w:tr>
        <w:tc>
          <w:tcPr>
            <w:tcW w:type="dxa" w:w="5040"/>
            <w:tcMar>
              <w:top w:w="80" w:type="dxa"/>
              <w:start w:w="90" w:type="dxa"/>
              <w:bottom w:w="80" w:type="dxa"/>
              <w:end w:w="90" w:type="dxa"/>
            </w:tcMar>
          </w:tcPr>
          <w:p>
            <w:r>
              <w:rPr>
                <w:sz w:val="16"/>
              </w:rPr>
              <w:t>Localization AUPRO / pixel AP</w:t>
            </w:r>
          </w:p>
        </w:tc>
        <w:tc>
          <w:tcPr>
            <w:tcW w:type="dxa" w:w="5040"/>
            <w:tcMar>
              <w:top w:w="80" w:type="dxa"/>
              <w:start w:w="90" w:type="dxa"/>
              <w:bottom w:w="80" w:type="dxa"/>
              <w:end w:w="90" w:type="dxa"/>
            </w:tcMar>
          </w:tcPr>
          <w:p>
            <w:r>
              <w:rPr>
                <w:sz w:val="16"/>
              </w:rPr>
              <w:t>Use known synthetic masks to quantify whether heatmaps localize defects.</w:t>
            </w:r>
          </w:p>
        </w:tc>
      </w:tr>
      <w:tr>
        <w:tc>
          <w:tcPr>
            <w:tcW w:type="dxa" w:w="5040"/>
            <w:tcMar>
              <w:top w:w="80" w:type="dxa"/>
              <w:start w:w="90" w:type="dxa"/>
              <w:bottom w:w="80" w:type="dxa"/>
              <w:end w:w="90" w:type="dxa"/>
            </w:tcMar>
          </w:tcPr>
          <w:p>
            <w:r>
              <w:rPr>
                <w:sz w:val="16"/>
              </w:rPr>
              <w:t>Contamination stress test</w:t>
            </w:r>
          </w:p>
        </w:tc>
        <w:tc>
          <w:tcPr>
            <w:tcW w:type="dxa" w:w="5040"/>
            <w:tcMar>
              <w:top w:w="80" w:type="dxa"/>
              <w:start w:w="90" w:type="dxa"/>
              <w:bottom w:w="80" w:type="dxa"/>
              <w:end w:w="90" w:type="dxa"/>
            </w:tcMar>
          </w:tcPr>
          <w:p>
            <w:r>
              <w:rPr>
                <w:sz w:val="16"/>
              </w:rPr>
              <w:t>Inject 1%, 5%, 10% synthetic anomalies into the unlabeled training set and measure degradation.</w:t>
            </w:r>
          </w:p>
        </w:tc>
      </w:tr>
      <w:tr>
        <w:tc>
          <w:tcPr>
            <w:tcW w:type="dxa" w:w="5040"/>
            <w:tcMar>
              <w:top w:w="80" w:type="dxa"/>
              <w:start w:w="90" w:type="dxa"/>
              <w:bottom w:w="80" w:type="dxa"/>
              <w:end w:w="90" w:type="dxa"/>
            </w:tcMar>
          </w:tcPr>
          <w:p>
            <w:r>
              <w:rPr>
                <w:sz w:val="16"/>
              </w:rPr>
              <w:t>Terrain false-positive audit</w:t>
            </w:r>
          </w:p>
        </w:tc>
        <w:tc>
          <w:tcPr>
            <w:tcW w:type="dxa" w:w="5040"/>
            <w:tcMar>
              <w:top w:w="80" w:type="dxa"/>
              <w:start w:w="90" w:type="dxa"/>
              <w:bottom w:w="80" w:type="dxa"/>
              <w:end w:w="90" w:type="dxa"/>
            </w:tcMar>
          </w:tcPr>
          <w:p>
            <w:r>
              <w:rPr>
                <w:sz w:val="16"/>
              </w:rPr>
              <w:t>Measure score distributions per terrain cluster; inspect whether one legitimate terrain family is systematically over-flagged.</w:t>
            </w:r>
          </w:p>
        </w:tc>
      </w:tr>
      <w:tr>
        <w:tc>
          <w:tcPr>
            <w:tcW w:type="dxa" w:w="5040"/>
            <w:tcMar>
              <w:top w:w="80" w:type="dxa"/>
              <w:start w:w="90" w:type="dxa"/>
              <w:bottom w:w="80" w:type="dxa"/>
              <w:end w:w="90" w:type="dxa"/>
            </w:tcMar>
          </w:tcPr>
          <w:p>
            <w:r>
              <w:rPr>
                <w:sz w:val="16"/>
              </w:rPr>
              <w:t>Branch ablation</w:t>
            </w:r>
          </w:p>
        </w:tc>
        <w:tc>
          <w:tcPr>
            <w:tcW w:type="dxa" w:w="5040"/>
            <w:tcMar>
              <w:top w:w="80" w:type="dxa"/>
              <w:start w:w="90" w:type="dxa"/>
              <w:bottom w:w="80" w:type="dxa"/>
              <w:end w:w="90" w:type="dxa"/>
            </w:tcMar>
          </w:tcPr>
          <w:p>
            <w:r>
              <w:rPr>
                <w:sz w:val="16"/>
              </w:rPr>
              <w:t>Remove spectral, semantic, terrain conditioning, and pseudo-normal weighting one at a time.</w:t>
            </w:r>
          </w:p>
        </w:tc>
      </w:tr>
      <w:tr>
        <w:tc>
          <w:tcPr>
            <w:tcW w:type="dxa" w:w="5040"/>
            <w:tcMar>
              <w:top w:w="80" w:type="dxa"/>
              <w:start w:w="90" w:type="dxa"/>
              <w:bottom w:w="80" w:type="dxa"/>
              <w:end w:w="90" w:type="dxa"/>
            </w:tcMar>
          </w:tcPr>
          <w:p>
            <w:r>
              <w:rPr>
                <w:sz w:val="16"/>
              </w:rPr>
              <w:t>Mask-scale ablation</w:t>
            </w:r>
          </w:p>
        </w:tc>
        <w:tc>
          <w:tcPr>
            <w:tcW w:type="dxa" w:w="5040"/>
            <w:tcMar>
              <w:top w:w="80" w:type="dxa"/>
              <w:start w:w="90" w:type="dxa"/>
              <w:bottom w:w="80" w:type="dxa"/>
              <w:end w:w="90" w:type="dxa"/>
            </w:tcMar>
          </w:tcPr>
          <w:p>
            <w:r>
              <w:rPr>
                <w:sz w:val="16"/>
              </w:rPr>
              <w:t>Compare one mask scale vs multi-scale and one reconstruction vs multi-mask ensemble.</w:t>
            </w:r>
          </w:p>
        </w:tc>
      </w:tr>
      <w:tr>
        <w:tc>
          <w:tcPr>
            <w:tcW w:type="dxa" w:w="5040"/>
            <w:tcMar>
              <w:top w:w="80" w:type="dxa"/>
              <w:start w:w="90" w:type="dxa"/>
              <w:bottom w:w="80" w:type="dxa"/>
              <w:end w:w="90" w:type="dxa"/>
            </w:tcMar>
          </w:tcPr>
          <w:p>
            <w:r>
              <w:rPr>
                <w:sz w:val="16"/>
              </w:rPr>
              <w:t>Stability test</w:t>
            </w:r>
          </w:p>
        </w:tc>
        <w:tc>
          <w:tcPr>
            <w:tcW w:type="dxa" w:w="5040"/>
            <w:tcMar>
              <w:top w:w="80" w:type="dxa"/>
              <w:start w:w="90" w:type="dxa"/>
              <w:bottom w:w="80" w:type="dxa"/>
              <w:end w:w="90" w:type="dxa"/>
            </w:tcMar>
          </w:tcPr>
          <w:p>
            <w:r>
              <w:rPr>
                <w:sz w:val="16"/>
              </w:rPr>
              <w:t>Small brightness/contrast/rotation changes should not radically reorder normal-image anomaly scores.</w:t>
            </w:r>
          </w:p>
        </w:tc>
      </w:tr>
      <w:tr>
        <w:tc>
          <w:tcPr>
            <w:tcW w:type="dxa" w:w="5040"/>
            <w:tcMar>
              <w:top w:w="80" w:type="dxa"/>
              <w:start w:w="90" w:type="dxa"/>
              <w:bottom w:w="80" w:type="dxa"/>
              <w:end w:w="90" w:type="dxa"/>
            </w:tcMar>
          </w:tcPr>
          <w:p>
            <w:r>
              <w:rPr>
                <w:sz w:val="16"/>
              </w:rPr>
              <w:t>Top-K qualitative audit</w:t>
            </w:r>
          </w:p>
        </w:tc>
        <w:tc>
          <w:tcPr>
            <w:tcW w:type="dxa" w:w="5040"/>
            <w:tcMar>
              <w:top w:w="80" w:type="dxa"/>
              <w:start w:w="90" w:type="dxa"/>
              <w:bottom w:w="80" w:type="dxa"/>
              <w:end w:w="90" w:type="dxa"/>
            </w:tcMar>
          </w:tcPr>
          <w:p>
            <w:r>
              <w:rPr>
                <w:sz w:val="16"/>
              </w:rPr>
              <w:t>Present 20–50 highest-scoring real samples with reconstruction, heatmap and nearest normal neighbors.</w:t>
            </w:r>
          </w:p>
        </w:tc>
      </w:tr>
    </w:tbl>
    <w:p>
      <w:pPr>
        <w:pStyle w:val="Heading1"/>
      </w:pPr>
      <w:r>
        <w:t>11. External validation that can strengthen the story</w:t>
      </w:r>
    </w:p>
    <w:p>
      <w:r>
        <w:rPr>
          <w:b/>
        </w:rPr>
        <w:t xml:space="preserve">Use external data only as an additional sanity check, not as hidden supervision for the competition set. </w:t>
      </w:r>
      <w:r>
        <w:t xml:space="preserve">NASA/JPL provides a public HiRISE landmark dataset with 64,947 cropped landmark images from 232 source images. It can be used to test whether the model preserves diversity across legitimate Martian terrain classes rather than treating unusual geology as “corruption.” </w:t>
      </w:r>
      <w:r>
        <w:rPr>
          <w:sz w:val="14"/>
          <w:vertAlign w:val="superscript"/>
        </w:rPr>
        <w:t>[14]</w:t>
      </w:r>
    </w:p>
    <w:p>
      <w:r>
        <w:t>For a memorable qualitative demonstration, run the trained system on public HiRISE scenes containing known spacecraft or strong instrument artifacts. The goal is not to claim competition accuracy from these examples, but to show that the detector’s explanations behave sensibly on independently known unusual content.</w:t>
      </w:r>
    </w:p>
    <w:p>
      <w:pPr>
        <w:pStyle w:val="Heading1"/>
      </w:pPr>
      <w:r>
        <w:t>12. Practical implementation path</w:t>
      </w:r>
    </w:p>
    <w:p>
      <w:r>
        <w:rPr>
          <w:b/>
        </w:rPr>
        <w:t xml:space="preserve">Data audit: </w:t>
      </w:r>
      <w:r>
        <w:t>Image dimensions/channels, duplicate rate, no-data borders, intensity histograms, FFT/DCT examples, source-id leakage, metadata availability.</w:t>
      </w:r>
    </w:p>
    <w:p>
      <w:r>
        <w:rPr>
          <w:b/>
        </w:rPr>
        <w:t xml:space="preserve">V1: </w:t>
      </w:r>
      <w:r>
        <w:t>Convolutional β-VAE, 128–256 px crops, reconstruction + latent score. Finish quickly and save every plot.</w:t>
      </w:r>
    </w:p>
    <w:p>
      <w:r>
        <w:rPr>
          <w:b/>
        </w:rPr>
        <w:t xml:space="preserve">V2: </w:t>
      </w:r>
      <w:r>
        <w:t>DINOv3/DINOv2 embeddings, terrain clustering, masked reconstruction, cluster-normalized scores.</w:t>
      </w:r>
    </w:p>
    <w:p>
      <w:r>
        <w:rPr>
          <w:b/>
        </w:rPr>
        <w:t xml:space="preserve">V3 core: </w:t>
      </w:r>
      <w:r>
        <w:t>Adapt DeCo-Diff/partial diffusion to grayscale Mars images; use latent-space diffusion if full pixel diffusion is too slow.</w:t>
      </w:r>
    </w:p>
    <w:p>
      <w:r>
        <w:rPr>
          <w:b/>
        </w:rPr>
        <w:t xml:space="preserve">V3 add-ons: </w:t>
      </w:r>
      <w:r>
        <w:t>Spectral branch, pseudo-normal weighting, multi-mask inference, learned score fusion on synthetic anomalies.</w:t>
      </w:r>
    </w:p>
    <w:p>
      <w:r>
        <w:rPr>
          <w:b/>
        </w:rPr>
        <w:t xml:space="preserve">Report: </w:t>
      </w:r>
      <w:r>
        <w:t>Ablation table, contamination stress test, top-K gallery, failure cases, compute cost, explicit novelty section.</w:t>
      </w:r>
    </w:p>
    <w:p>
      <w:pPr>
        <w:pStyle w:val="KeyPoint"/>
      </w:pPr>
      <w:r>
        <w:rPr>
          <w:b/>
        </w:rPr>
        <w:t xml:space="preserve">Compute-aware fallback: </w:t>
      </w:r>
      <w:r>
        <w:t>If diffusion training becomes unstable or too slow, submit V2 as the reliable backbone and use a small conditional diffusion/inpainting model only on the top suspicious regions. A finished, measured system is better than an impressive architecture with weak experiments.</w:t>
      </w:r>
    </w:p>
    <w:p>
      <w:pPr>
        <w:pStyle w:val="Heading1"/>
      </w:pPr>
      <w:r>
        <w:t>13. What should make the final submission memorable</w:t>
      </w:r>
    </w:p>
    <w:p>
      <w:pPr>
        <w:pStyle w:val="ListBullet"/>
        <w:spacing w:after="60"/>
      </w:pPr>
      <w:r>
        <w:t>One sentence thesis: “We do not ask one model to detect every kind of abnormality; we generate a counterfactual normal Mars image and test the observation structurally, semantically, and spectrally.”</w:t>
      </w:r>
    </w:p>
    <w:p>
      <w:pPr>
        <w:pStyle w:val="ListBullet"/>
        <w:spacing w:after="60"/>
      </w:pPr>
      <w:r>
        <w:t>Show one figure with five columns: input → normal reconstruction → residual → fused heatmap → nearest normal neighbors.</w:t>
      </w:r>
    </w:p>
    <w:p>
      <w:pPr>
        <w:pStyle w:val="ListBullet"/>
        <w:spacing w:after="60"/>
      </w:pPr>
      <w:r>
        <w:t>Show the exact V1→V2→V3 failure-driven evolution, matching the required Symptom → Diagnosis → Fix format.</w:t>
      </w:r>
    </w:p>
    <w:p>
      <w:pPr>
        <w:pStyle w:val="ListBullet"/>
        <w:spacing w:after="60"/>
      </w:pPr>
      <w:r>
        <w:t>Include failure cases. Judges trust a team more when it explains where the model is uncertain and why.</w:t>
      </w:r>
    </w:p>
    <w:p>
      <w:pPr>
        <w:pStyle w:val="ListBullet"/>
        <w:spacing w:after="60"/>
      </w:pPr>
      <w:r>
        <w:t>Avoid claiming “state of the art on Mars” unless the benchmark really supports it. Claim the specific measured improvements your ablations demonstrate.</w:t>
      </w:r>
    </w:p>
    <w:p>
      <w:pPr>
        <w:pStyle w:val="ListBullet"/>
        <w:spacing w:after="60"/>
      </w:pPr>
      <w:r>
        <w:t>Open-source reproducibility: fixed seed, requirements.txt, deterministic data split, saved configs, and one command/notebook path to reproduce the main table.</w:t>
      </w:r>
    </w:p>
    <w:p>
      <w:pPr>
        <w:pStyle w:val="Heading1"/>
      </w:pPr>
      <w:r>
        <w:t>14. Final verdict</w:t>
      </w:r>
    </w:p>
    <w:p>
      <w:r>
        <w:rPr>
          <w:b/>
        </w:rPr>
        <w:t xml:space="preserve">Recommended final architecture: </w:t>
      </w:r>
      <w:r>
        <w:t>TCMD-SS — a terrain-conditioned masked/partial diffusion generative model trained with contamination-resistant weighting, with dense DINO semantic discrepancy and a local frequency-domain detector fused into a terrain-normalized anomaly score.</w:t>
      </w:r>
    </w:p>
    <w:p>
      <w:r>
        <w:rPr>
          <w:b/>
        </w:rPr>
        <w:t xml:space="preserve">Why not just use the newest published method? </w:t>
      </w:r>
      <w:r>
        <w:t>Because the competition is not MVTec. The winning opportunity is to combine the best validated mechanisms with HiRISE physics: multiple legitimate surface modes, instrument striping/dropouts, very high spatial detail, unlabeled contamination, and the need to explain anomalies. The proposed system is therefore an adaptation, not a copy.</w:t>
      </w:r>
    </w:p>
    <w:p>
      <w:r>
        <w:rPr>
          <w:b/>
        </w:rPr>
        <w:t xml:space="preserve">What to build first: </w:t>
      </w:r>
      <w:r>
        <w:t>V1 and the data audit. The first 20 real examples and score distributions will determine crop size, terrain clustering, masking scales and whether diffusion is necessary at full resolution. Do not lock those hyperparameters before inspecting the competition data.</w:t>
      </w:r>
    </w:p>
    <w:p>
      <w:pPr>
        <w:pStyle w:val="Heading1"/>
      </w:pPr>
      <w:r>
        <w:t>Sources</w:t>
      </w:r>
    </w:p>
    <w:p>
      <w:pPr>
        <w:spacing w:after="60"/>
        <w:ind w:hanging="288" w:left="288"/>
      </w:pPr>
      <w:r>
        <w:t xml:space="preserve">1. Uploaded case problem statement: “HiRISE Anomaly Detection – Unsupervised Deep Generative Modeling on Martian Surface Imagery,” pp. 1–3. </w:t>
      </w:r>
    </w:p>
    <w:p>
      <w:pPr>
        <w:spacing w:after="60"/>
        <w:ind w:hanging="288" w:left="288"/>
      </w:pPr>
      <w:r>
        <w:t xml:space="preserve">2. National Students’ Space Challenge 2026, IIT Kharagpur — Data Analytics event page. </w:t>
      </w:r>
      <w:hyperlink r:id="rId9">
        <w:r>
          <w:rPr>
            <w:color w:val="1155CC"/>
            <w:u w:val="single"/>
          </w:rPr>
          <w:t>Link</w:t>
        </w:r>
      </w:hyperlink>
    </w:p>
    <w:p>
      <w:pPr>
        <w:spacing w:after="60"/>
        <w:ind w:hanging="288" w:left="288"/>
      </w:pPr>
      <w:r>
        <w:t xml:space="preserve">3. Lesnikowski, A.; Bickel, V. T.; Angerhausen, D. (2024). Automated Discovery of Anomalous Features in Ultra-Large Planetary Remote Sensing Datasets using Variational Autoencoders. IEEE JSTARS. </w:t>
      </w:r>
      <w:hyperlink r:id="rId10">
        <w:r>
          <w:rPr>
            <w:color w:val="1155CC"/>
            <w:u w:val="single"/>
          </w:rPr>
          <w:t>Link</w:t>
        </w:r>
      </w:hyperlink>
    </w:p>
    <w:p>
      <w:pPr>
        <w:spacing w:after="60"/>
        <w:ind w:hanging="288" w:left="288"/>
      </w:pPr>
      <w:r>
        <w:t xml:space="preserve">4. Gong, D. et al. (2019). Memorizing Normality to Detect Anomaly: Memory-Augmented Deep Autoencoder for Unsupervised Anomaly Detection. ICCV. </w:t>
      </w:r>
      <w:hyperlink r:id="rId11">
        <w:r>
          <w:rPr>
            <w:color w:val="1155CC"/>
            <w:u w:val="single"/>
          </w:rPr>
          <w:t>Link</w:t>
        </w:r>
      </w:hyperlink>
    </w:p>
    <w:p>
      <w:pPr>
        <w:spacing w:after="60"/>
        <w:ind w:hanging="288" w:left="288"/>
      </w:pPr>
      <w:r>
        <w:t xml:space="preserve">5. He, K. et al. (2022). Masked Autoencoders Are Scalable Vision Learners. CVPR. </w:t>
      </w:r>
      <w:hyperlink r:id="rId12">
        <w:r>
          <w:rPr>
            <w:color w:val="1155CC"/>
            <w:u w:val="single"/>
          </w:rPr>
          <w:t>Link</w:t>
        </w:r>
      </w:hyperlink>
    </w:p>
    <w:p>
      <w:pPr>
        <w:spacing w:after="60"/>
        <w:ind w:hanging="288" w:left="288"/>
      </w:pPr>
      <w:r>
        <w:t xml:space="preserve">6. Wyatt, J. et al. (2022). AnoDDPM: Anomaly Detection With Denoising Diffusion Probabilistic Models Using Simplex Noise. CVPR Workshops. </w:t>
      </w:r>
      <w:hyperlink r:id="rId13">
        <w:r>
          <w:rPr>
            <w:color w:val="1155CC"/>
            <w:u w:val="single"/>
          </w:rPr>
          <w:t>Link</w:t>
        </w:r>
      </w:hyperlink>
    </w:p>
    <w:p>
      <w:pPr>
        <w:spacing w:after="60"/>
        <w:ind w:hanging="288" w:left="288"/>
      </w:pPr>
      <w:r>
        <w:t xml:space="preserve">7. Beizaee, F. et al. (2025). Correcting Deviations from Normality: A Reformulated Diffusion Model for Multi-Class Unsupervised Anomaly Detection. CVPR. </w:t>
      </w:r>
      <w:hyperlink r:id="rId14">
        <w:r>
          <w:rPr>
            <w:color w:val="1155CC"/>
            <w:u w:val="single"/>
          </w:rPr>
          <w:t>Link</w:t>
        </w:r>
      </w:hyperlink>
    </w:p>
    <w:p>
      <w:pPr>
        <w:spacing w:after="60"/>
        <w:ind w:hanging="288" w:left="288"/>
      </w:pPr>
      <w:r>
        <w:t xml:space="preserve">8. Guo, J. et al. (2025). Dinomaly: The Less Is More Philosophy in Multi-Class Unsupervised Anomaly Detection. CVPR. </w:t>
      </w:r>
      <w:hyperlink r:id="rId15">
        <w:r>
          <w:rPr>
            <w:color w:val="1155CC"/>
            <w:u w:val="single"/>
          </w:rPr>
          <w:t>Link</w:t>
        </w:r>
      </w:hyperlink>
    </w:p>
    <w:p>
      <w:pPr>
        <w:spacing w:after="60"/>
        <w:ind w:hanging="288" w:left="288"/>
      </w:pPr>
      <w:r>
        <w:t xml:space="preserve">9. Zuo, Z.; Dong, J.; Wu, Z. (2026). ContaminationAD: Anomaly detection with contaminated data. Neural Networks. </w:t>
      </w:r>
      <w:hyperlink r:id="rId16">
        <w:r>
          <w:rPr>
            <w:color w:val="1155CC"/>
            <w:u w:val="single"/>
          </w:rPr>
          <w:t>Link</w:t>
        </w:r>
      </w:hyperlink>
    </w:p>
    <w:p>
      <w:pPr>
        <w:spacing w:after="60"/>
        <w:ind w:hanging="288" w:left="288"/>
      </w:pPr>
      <w:r>
        <w:t xml:space="preserve">10. Gong, T. et al. (2025). FE-CLIP: Frequency Enhanced CLIP Model for Zero-Shot Anomaly Detection and Segmentation. ICCV. </w:t>
      </w:r>
      <w:hyperlink r:id="rId17">
        <w:r>
          <w:rPr>
            <w:color w:val="1155CC"/>
            <w:u w:val="single"/>
          </w:rPr>
          <w:t>Link</w:t>
        </w:r>
      </w:hyperlink>
    </w:p>
    <w:p>
      <w:pPr>
        <w:spacing w:after="60"/>
        <w:ind w:hanging="288" w:left="288"/>
      </w:pPr>
      <w:r>
        <w:t xml:space="preserve">11. USGS Astrogeology — HiRISE Level 1 processing: vertical striping and channel tone differences; HiRISE analysis-ready-data documentation for missing-data artifacts. </w:t>
      </w:r>
      <w:hyperlink r:id="rId18">
        <w:r>
          <w:rPr>
            <w:color w:val="1155CC"/>
            <w:u w:val="single"/>
          </w:rPr>
          <w:t>Link</w:t>
        </w:r>
      </w:hyperlink>
    </w:p>
    <w:p>
      <w:pPr>
        <w:spacing w:after="60"/>
        <w:ind w:hanging="288" w:left="288"/>
      </w:pPr>
      <w:r>
        <w:t xml:space="preserve">12. Meta AI Research — DINOv3. </w:t>
      </w:r>
      <w:hyperlink r:id="rId19">
        <w:r>
          <w:rPr>
            <w:color w:val="1155CC"/>
            <w:u w:val="single"/>
          </w:rPr>
          <w:t>Link</w:t>
        </w:r>
      </w:hyperlink>
    </w:p>
    <w:p>
      <w:pPr>
        <w:spacing w:after="60"/>
        <w:ind w:hanging="288" w:left="288"/>
      </w:pPr>
      <w:r>
        <w:t xml:space="preserve">13. Li, C.-L. et al. (2021). CutPaste: Self-Supervised Learning for Anomaly Detection and Localization. CVPR. </w:t>
      </w:r>
      <w:hyperlink r:id="rId20">
        <w:r>
          <w:rPr>
            <w:color w:val="1155CC"/>
            <w:u w:val="single"/>
          </w:rPr>
          <w:t>Link</w:t>
        </w:r>
      </w:hyperlink>
    </w:p>
    <w:p>
      <w:pPr>
        <w:spacing w:after="60"/>
        <w:ind w:hanging="288" w:left="288"/>
      </w:pPr>
      <w:r>
        <w:t xml:space="preserve">14. NASA/JPL / Zenodo — Mars orbital image (HiRISE) labeled data set version 3.2. </w:t>
      </w:r>
      <w:hyperlink r:id="rId21">
        <w:r>
          <w:rPr>
            <w:color w:val="1155CC"/>
            <w:u w:val="single"/>
          </w:rPr>
          <w:t>Link</w:t>
        </w:r>
      </w:hyperlink>
    </w:p>
    <w:sectPr w:rsidR="00FC693F" w:rsidRPr="0006063C" w:rsidSect="00034616">
      <w:footerReference w:type="default" r:id="rId2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HiRISE Anomaly Detection Strategy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41414"/>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141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14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20" w:after="140"/>
      <w:ind w:left="259" w:right="259"/>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ssc.in/events/dataanalytics" TargetMode="External"/><Relationship Id="rId10" Type="http://schemas.openxmlformats.org/officeDocument/2006/relationships/hyperlink" Target="https://arxiv.org/abs/2403.07424" TargetMode="External"/><Relationship Id="rId11" Type="http://schemas.openxmlformats.org/officeDocument/2006/relationships/hyperlink" Target="https://openaccess.thecvf.com/content_ICCV_2019/html/Gong_Memorizing_Normality_to_Detect_Anomaly_Memory-Augmented_Deep_Autoencoder_for_Unsupervised_ICCV_2019_paper.html" TargetMode="External"/><Relationship Id="rId12" Type="http://schemas.openxmlformats.org/officeDocument/2006/relationships/hyperlink" Target="https://openaccess.thecvf.com/content/CVPR2022/html/He_Masked_Autoencoders_Are_Scalable_Vision_Learners_CVPR_2022_paper.html" TargetMode="External"/><Relationship Id="rId13" Type="http://schemas.openxmlformats.org/officeDocument/2006/relationships/hyperlink" Target="https://openaccess.thecvf.com/content/CVPR2022W/NTIRE/html/Wyatt_AnoDDPM_Anomaly_Detection_With_Denoising_Diffusion_Probabilistic_Models_Using_Simplex_CVPRW_2022_paper.html" TargetMode="External"/><Relationship Id="rId14" Type="http://schemas.openxmlformats.org/officeDocument/2006/relationships/hyperlink" Target="https://openaccess.thecvf.com/content/CVPR2025/html/Beizaee_Correcting_Deviations_from_Normality_A_Reformulated_Diffusion_Model_for_Multi-Class_CVPR_2025_paper.html" TargetMode="External"/><Relationship Id="rId15" Type="http://schemas.openxmlformats.org/officeDocument/2006/relationships/hyperlink" Target="https://openaccess.thecvf.com/content/CVPR2025/html/Guo_Dinomaly_The_Less_Is_More_Philosophy_in_Multi-Class_Unsupervised_Anomaly_CVPR_2025_paper.html" TargetMode="External"/><Relationship Id="rId16" Type="http://schemas.openxmlformats.org/officeDocument/2006/relationships/hyperlink" Target="https://www.sciencedirect.com/science/article/pii/S0893608026010245" TargetMode="External"/><Relationship Id="rId17" Type="http://schemas.openxmlformats.org/officeDocument/2006/relationships/hyperlink" Target="https://openaccess.thecvf.com/content/ICCV2025/html/Gong_FE-CLIP_Frequency_Enhanced_CLIP_Model_for_Zero-Shot_Anomaly_Detection_and_ICCV_2025_paper.html" TargetMode="External"/><Relationship Id="rId18" Type="http://schemas.openxmlformats.org/officeDocument/2006/relationships/hyperlink" Target="https://astrogeology.usgs.gov/docs/concepts/missions/mro/hirise-level-1/" TargetMode="External"/><Relationship Id="rId19" Type="http://schemas.openxmlformats.org/officeDocument/2006/relationships/hyperlink" Target="https://ai.meta.com/research/dinov3/" TargetMode="External"/><Relationship Id="rId20" Type="http://schemas.openxmlformats.org/officeDocument/2006/relationships/hyperlink" Target="https://openaccess.thecvf.com/content/CVPR2021/html/Li_CutPaste_Self-Supervised_Learning_for_Anomaly_Detection_and_Localization_CVPR_2021_paper.html" TargetMode="External"/><Relationship Id="rId21" Type="http://schemas.openxmlformats.org/officeDocument/2006/relationships/hyperlink" Target="https://zenodo.org/records/4002935"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