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HOSPITAL 360 — FINAL STRATEGY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Strategic Recommendation &amp; Conditional Go/No-Go</w:t>
      </w:r>
    </w:p>
    <w:p>
      <w:pPr>
        <w:pBdr>
          <w:bottom w:val="single" w:color="1F4E78" w:sz="12" w:space="1"/>
        </w:pBdr>
        <w:spacing w:after="300"/>
      </w:pPr>
    </w:p>
    <w:p>
      <w:pPr>
        <w:pStyle w:val="Heading1"/>
        <w:spacing w:after="150" w:before="300"/>
      </w:pPr>
      <w:r>
        <w:t xml:space="preserve">Final Decision: CONDITIONAL GO</w:t>
      </w:r>
    </w:p>
    <w:p>
      <w:pPr>
        <w:spacing w:after="150"/>
        <w:jc w:val="both"/>
      </w:pPr>
      <w:r>
        <w:t xml:space="preserve">Hospital 360 — a 100-bed regional multispecialty hospital in the Kangra–Palampur corridor, Himachal Pradesh, launched at 75–80 beds under a ₹50 crore Base Case — receives a CONDITIONAL GO recommendation. This is the default, evidence-appropriate decision status for a model built on desk research and benchmark-driven planning: it reflects genuine confidence in the underlying logic, not a substitute for the due diligence listed in Section 3.</w:t>
      </w:r>
    </w:p>
    <w:p>
      <w:pPr>
        <w:pStyle w:val="Heading1"/>
        <w:spacing w:after="150" w:before="300"/>
      </w:pPr>
      <w:r>
        <w:t xml:space="preserve">1. Why Conditional Go — The Supporting Case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sizeable and growing resident catchment (~5.86 lakh core, Census-anchored) combined with a substantial tourism-driven floating population that is under-served by the current provider mix.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location scorecard of ~3.6/5.0 — directionally sound, with clearly identified (not hidden) risk flags around land assembly and workforce retention.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financial model that, while loss-making in Years 1–3 (as is normal for a greenfield hospital), reaches PAT break-even by Year 4 and a lender-acceptable DSCR (~1.4x+) by Year 6, with a Year 5 margin of safety of ~23% over break-even revenue.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differentiated competitive position — a mid-market bridge between an overstretched public tertiary hospital and premium out-of-state referral hospitals — rather than a head-on capacity race.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built-in quality (NABH-oriented) and analytics architecture designed from Day 1, rather than retrofitted after launch.</w:t>
      </w:r>
    </w:p>
    <w:p>
      <w:pPr>
        <w:pStyle w:val="Heading1"/>
        <w:spacing w:after="150" w:before="300"/>
      </w:pPr>
      <w:r>
        <w:t xml:space="preserve">2. Why Not Unconditional Go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2021 Census exists — all forward population projections are extrapolations, not certified demographic forecasts.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formal, primary market-research study (patient surveys, willingness-to-pay research) has been conducted; the market case rests on desk research and public infrastructure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site has been identified, surveyed or legally verified — land-assembly risk in a hill-state topography is real and unquantified until a specific parcel is evaluated.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financial model uses Benchmark ratios (CAPEX/bed, OPEX%, ARPOBD) drawn from general Indian private-hospital norms, not this specific facility's negotiated equipment, construction or clinical-tariff contracts.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regulatory pre-clearance (health-facility licensing, fire-NOC, environmental clearance, NABH pre-assessment) has been sought.</w:t>
      </w:r>
    </w:p>
    <w:p>
      <w:pPr>
        <w:pStyle w:val="Heading1"/>
        <w:spacing w:after="150" w:before="300"/>
      </w:pPr>
      <w:r>
        <w:t xml:space="preserve">3. Conditions Precedent — What Must Happen Before Full Commitment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6600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Before Full Commitment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due diligence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Identify specific land parcel; complete soil/geotechnical survey, legal title verification, zoning clearance, water-availability study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Demand validation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Commission a formal primary market-research study (patient surveys, referral-pattern mapping, willingness-to-pay analysis)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Regulatory pre-clearance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Initiate health-facility licensing, fire-NOC feasibility check, environmental clearance (if applicable), and NABH pre-assessment registration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 appraisal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Commission an independent, lender-grade financial appraisal and term-sheet negotiation using site-specific, contract-backed CAPEX and OPEX figures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Clinical partnership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Secure preliminary commitments/interest from anchor consultants for core Phase 1 specialities</w:t>
            </w:r>
          </w:p>
        </w:tc>
      </w:tr>
    </w:tbl>
    <w:p>
      <w:pPr>
        <w:spacing w:after="150"/>
        <w:jc w:val="left"/>
      </w:pPr>
      <w:r>
        <w:t xml:space="preserve"/>
      </w:r>
    </w:p>
    <w:p>
      <w:pPr>
        <w:pStyle w:val="Heading1"/>
        <w:spacing w:after="150" w:before="300"/>
      </w:pPr>
      <w:r>
        <w:t xml:space="preserve">4. Expansion Triggers (Phase 2 / Phase 3)</w:t>
      </w:r>
    </w:p>
    <w:p>
      <w:pPr>
        <w:spacing w:after="150"/>
        <w:jc w:val="both"/>
      </w:pPr>
      <w:r>
        <w:t xml:space="preserve">Phase 2 service-line investment (Cardiology/Cath Lab, Nephrology/Dialysis expansion, MRI) should be triggered only once Phase 1 demonstrates: occupancy sustained above ~55% for two consecutive quarters, OPD footfall tracking at or above the Year 2 model target, and a positive monthly EBITDA trend for at least two consecutive quarters. Phase 3 (Neurology/Neurosurgery, advanced Oncology, Fertility/IVF) should be evaluated only after Phase 2 service lines have themselves demonstrated sustained utilisation — this model treats Phase 3 as genuinely demand-driven, not pre-committed.</w:t>
      </w:r>
    </w:p>
    <w:p>
      <w:pPr>
        <w:pStyle w:val="Heading1"/>
        <w:spacing w:after="150" w:before="300"/>
      </w:pPr>
      <w:r>
        <w:t xml:space="preserve">5. Scenario Guidance</w:t>
      </w:r>
    </w:p>
    <w:p>
      <w:pPr>
        <w:spacing w:after="150"/>
        <w:jc w:val="both"/>
      </w:pPr>
      <w:r>
        <w:t xml:space="preserve">If site due diligence surfaces land-cost or construction-timeline pressure, the Lean Case (₹40 crore) provides a viable fallback with a deferred MRI/Cath Lab rollout, at a modestly lower projected EBITDA ceiling. If demand validation shows stronger-than-modelled tertiary-care leakage from the corridor, the Upper Case (₹60 crore) supports a faster Phase 2 rollout and a higher revenue ceiling. Both scenarios are directionally sized in the 16_Sensitivity sheet of the Master Model; either should be independently re-modelled in full (10_CAPEX through 14_Cash_Flow) once site-specific figures are available, rather than relied upon as a substitute for that re-modelling.</w:t>
      </w:r>
    </w:p>
    <w:p>
      <w:pPr>
        <w:pStyle w:val="Heading1"/>
        <w:spacing w:after="150" w:before="300"/>
      </w:pPr>
      <w:r>
        <w:t xml:space="preserve">6. Final Word</w:t>
      </w:r>
    </w:p>
    <w:p>
      <w:pPr>
        <w:spacing w:after="150"/>
        <w:jc w:val="both"/>
      </w:pPr>
      <w:r>
        <w:t xml:space="preserve">Hospital 360 is a well-evidenced, transparently-labelled academic strategic model that makes a credible case for a 100-bed regional multispecialty hospital in the Kangra–Palampur corridor. The recommendation to proceed is genuine — but it is a recommendation to proceed to due diligence, not to construction. CONDITIONAL GO, reviewed against the conditions in Section 3, is the appropriate and honest status for this stage of the project.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Hospital 360 — Final Strategy</w:t>
    </w:r>
    <w:r>
      <w:t xml:space="preserve">	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color w:val="1F4E78"/>
        <w:sz w:val="16"/>
        <w:szCs w:val="16"/>
      </w:rPr>
      <w:t xml:space="preserve">HOSPITAL 360</w:t>
    </w:r>
    <w:r>
      <w:t xml:space="preserve">	</w:t>
    </w:r>
    <w:r>
      <w:rPr>
        <w:color w:val="595959"/>
        <w:sz w:val="16"/>
        <w:szCs w:val="16"/>
      </w:rPr>
      <w:t xml:space="preserve">Final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rFonts w:ascii="Calibri" w:cs="Calibri" w:eastAsia="Calibri" w:hAnsi="Calibri"/>
      <w:b/>
      <w:bCs/>
      <w:color w:val="1F4E78"/>
      <w:sz w:val="40"/>
      <w:szCs w:val="40"/>
    </w:rPr>
  </w:style>
  <w:style w:type="paragraph" w:styleId="Heading1">
    <w:name w:val="Heading 1"/>
    <w:pPr>
      <w:spacing w:after="150" w:before="300"/>
    </w:pPr>
    <w:rPr>
      <w:rFonts w:ascii="Calibri" w:cs="Calibri" w:eastAsia="Calibri" w:hAnsi="Calibri"/>
      <w:b/>
      <w:bCs/>
      <w:color w:val="1F4E78"/>
      <w:sz w:val="28"/>
      <w:szCs w:val="28"/>
    </w:rPr>
  </w:style>
  <w:style w:type="paragraph" w:styleId="Heading2">
    <w:name w:val="Heading 2"/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3">
    <w:name w:val="Heading 3"/>
    <w:rPr>
      <w:rFonts w:ascii="Calibri" w:cs="Calibri" w:eastAsia="Calibri" w:hAnsi="Calibri"/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2026-09-15T04:31:58.541Z</dcterms:created>
  <dcterms:modified xsi:type="dcterms:W3CDTF">2026-09-15T04:31:58.541Z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