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HOSPITAL 360</w:t>
      </w:r>
    </w:p>
    <w:p>
      <w:pPr>
        <w:spacing w:after="300"/>
      </w:pPr>
      <w:r>
        <w:rPr>
          <w:i/>
          <w:iCs/>
          <w:color w:val="595959"/>
          <w:sz w:val="22"/>
          <w:szCs w:val="22"/>
        </w:rPr>
        <w:t xml:space="preserve">Project Charter — Strategic Healthcare Management &amp; Analytics Model</w:t>
      </w:r>
    </w:p>
    <w:p>
      <w:pPr>
        <w:pBdr>
          <w:bottom w:val="single" w:color="1F4E78" w:sz="12" w:space="1"/>
        </w:pBdr>
        <w:spacing w:after="300"/>
      </w:pPr>
    </w:p>
    <w:p>
      <w:pPr>
        <w:spacing w:after="150"/>
        <w:jc w:val="both"/>
      </w:pPr>
      <w:r>
        <w:t xml:space="preserve">This charter defines the foundation of Hospital 360: a hypothetical, academic strategic and financial model for a 100-bed regional multispecialty hospital in the Kangra–Palampur corridor of Himachal Pradesh, built as an MBA Pharma &amp; Healthcare Management capstone project.</w:t>
      </w:r>
    </w:p>
    <w:p>
      <w:pPr>
        <w:pStyle w:val="Heading1"/>
        <w:spacing w:after="150" w:before="300"/>
      </w:pPr>
      <w:r>
        <w:t xml:space="preserve">1. Project Title</w:t>
      </w:r>
    </w:p>
    <w:p>
      <w:pPr>
        <w:spacing w:after="150"/>
        <w:jc w:val="left"/>
      </w:pPr>
      <w:r>
        <w:t xml:space="preserve">Hospital 360 — Strategic Healthcare Management &amp; Analytics Model for a 100-Bed Regional Multispecialty Hospital in the Kangra–Palampur Corridor, Himachal Pradesh.</w:t>
      </w:r>
    </w:p>
    <w:p>
      <w:pPr>
        <w:pStyle w:val="Heading1"/>
        <w:spacing w:after="150" w:before="300"/>
      </w:pPr>
      <w:r>
        <w:t xml:space="preserve">2. Problem Statement</w:t>
      </w:r>
    </w:p>
    <w:p>
      <w:pPr>
        <w:spacing w:after="150"/>
        <w:jc w:val="both"/>
      </w:pPr>
      <w:r>
        <w:t xml:space="preserve">Residents of the Kangra–Palampur corridor in Himachal Pradesh currently depend heavily on a single large public tertiary facility — Dr. Rajendra Prasad Government Medical College (RPGMC), Tanda — for advanced care, or must travel to Chandigarh or Delhi for many tertiary and quaternary procedures. The organised private sector in the corridor remains limited, anchored mainly by one established player (Fortis Hospital, Kangra). This creates a plausible, evidence-worthy case to examine whether a well-positioned, NABH-oriented 100-bed private multispecialty hospital could profitably and sustainably close part of this access gap — while also serving Dharamshala–McLeodganj's substantial tourist and floating population.</w:t>
      </w:r>
    </w:p>
    <w:p>
      <w:pPr>
        <w:spacing w:after="150"/>
        <w:jc w:val="left"/>
      </w:pPr>
      <w:r>
        <w:t xml:space="preserve">This project does not assert that such a gap is proven beyond doubt; it builds a transparent, assumption-labelled model to test the proposition.</w:t>
      </w:r>
    </w:p>
    <w:p>
      <w:pPr>
        <w:pStyle w:val="Heading1"/>
        <w:spacing w:after="150" w:before="300"/>
      </w:pPr>
      <w:r>
        <w:t xml:space="preserve">3. Objectives</w:t>
      </w:r>
    </w:p>
    <w:p>
      <w:pPr>
        <w:pStyle w:val="ListParagraph"/>
        <w:numPr>
          <w:ilvl w:val="0"/>
          <w:numId w:val="2"/>
        </w:numPr>
        <w:spacing w:after="80"/>
      </w:pPr>
      <w:r>
        <w:t xml:space="preserve">Quantify the demographic and healthcare-infrastructure market opportunity for a 100-bed hospital in the Kangra–Palampur corridor, using verifiable public data wherever available.</w:t>
      </w:r>
    </w:p>
    <w:p>
      <w:pPr>
        <w:pStyle w:val="ListParagraph"/>
        <w:numPr>
          <w:ilvl w:val="0"/>
          <w:numId w:val="2"/>
        </w:numPr>
        <w:spacing w:after="80"/>
      </w:pPr>
      <w:r>
        <w:t xml:space="preserve">Test location feasibility for the locked Kangra–Palampur corridor against transparent, weighted evaluation criteria.</w:t>
      </w:r>
    </w:p>
    <w:p>
      <w:pPr>
        <w:pStyle w:val="ListParagraph"/>
        <w:numPr>
          <w:ilvl w:val="0"/>
          <w:numId w:val="2"/>
        </w:numPr>
        <w:spacing w:after="80"/>
      </w:pPr>
      <w:r>
        <w:t xml:space="preserve">Design the hospital's business model, service portfolio, capacity plan and department-wise manpower structure across launch, stabilisation and mature phases.</w:t>
      </w:r>
    </w:p>
    <w:p>
      <w:pPr>
        <w:pStyle w:val="ListParagraph"/>
        <w:numPr>
          <w:ilvl w:val="0"/>
          <w:numId w:val="2"/>
        </w:numPr>
        <w:spacing w:after="80"/>
      </w:pPr>
      <w:r>
        <w:t xml:space="preserve">Build an integrated 10-year financial model — CAPEX, OPEX, revenue, P&amp;L, cash flow, break-even and sensitivity — across Base (₹50 Cr), Lean (₹40 Cr) and Upper (₹60 Cr) scenarios.</w:t>
      </w:r>
    </w:p>
    <w:p>
      <w:pPr>
        <w:pStyle w:val="ListParagraph"/>
        <w:numPr>
          <w:ilvl w:val="0"/>
          <w:numId w:val="2"/>
        </w:numPr>
        <w:spacing w:after="80"/>
      </w:pPr>
      <w:r>
        <w:t xml:space="preserve">Define an operations blueprint (patient-flow SOPs and KPIs) and an NABH-oriented quality and accreditation-readiness framework.</w:t>
      </w:r>
    </w:p>
    <w:p>
      <w:pPr>
        <w:pStyle w:val="ListParagraph"/>
        <w:numPr>
          <w:ilvl w:val="0"/>
          <w:numId w:val="2"/>
        </w:numPr>
        <w:spacing w:after="80"/>
      </w:pPr>
      <w:r>
        <w:t xml:space="preserve">Benchmark the proposed hospital against existing regional providers and articulate a differentiated competitive position.</w:t>
      </w:r>
    </w:p>
    <w:p>
      <w:pPr>
        <w:pStyle w:val="ListParagraph"/>
        <w:numPr>
          <w:ilvl w:val="0"/>
          <w:numId w:val="2"/>
        </w:numPr>
        <w:spacing w:after="80"/>
      </w:pPr>
      <w:r>
        <w:t xml:space="preserve">Build a synthetic-data analytics layer demonstrating a Data → KPI → Insight → Decision → Action → Improvement reporting architecture.</w:t>
      </w:r>
    </w:p>
    <w:p>
      <w:pPr>
        <w:pStyle w:val="ListParagraph"/>
        <w:numPr>
          <w:ilvl w:val="0"/>
          <w:numId w:val="2"/>
        </w:numPr>
        <w:spacing w:after="80"/>
      </w:pPr>
      <w:r>
        <w:t xml:space="preserve">Arrive at a final, evidence-based strategic recommendation, using CONDITIONAL GO as the default decision status pending further due diligence.</w:t>
      </w:r>
    </w:p>
    <w:p>
      <w:pPr>
        <w:pStyle w:val="Heading1"/>
        <w:spacing w:after="150" w:before="300"/>
      </w:pPr>
      <w:r>
        <w:t xml:space="preserve">4. Scope</w:t>
      </w:r>
    </w:p>
    <w:p>
      <w:pPr>
        <w:spacing w:after="150"/>
        <w:jc w:val="both"/>
      </w:pPr>
      <w:r>
        <w:t xml:space="preserve">In scope: market and location analysis, business/service model design, capacity and department planning, manpower modelling, a full financial feasibility model, an operations and quality (NABH-readiness) blueprint, competitor benchmarking, and a synthetic-data analytics/dashboard layer, culminating in a final strategic report and presentation.</w:t>
      </w:r>
    </w:p>
    <w:p>
      <w:pPr>
        <w:spacing w:after="150"/>
        <w:jc w:val="both"/>
      </w:pPr>
      <w:r>
        <w:t xml:space="preserve">Out of scope: this is a hypothetical academic strategic model, not an existing hospital, not a real investment proposal, and not a substitute for statutory clearances, architectural certification, formal market research, or lender/investor-grade due diligence. No real patient, hospital or financial data of any existing institution is used; all figures are Actual Public Data (cited), Benchmark, Assumption, or Calculated Value, and the analytics layer uses clearly labelled synthetic data.</w:t>
      </w:r>
    </w:p>
    <w:p>
      <w:pPr>
        <w:pStyle w:val="Heading1"/>
        <w:spacing w:after="150" w:before="300"/>
      </w:pPr>
      <w:r>
        <w:t xml:space="preserve">5. Key Assumptions (Locked Per Brief)</w:t>
      </w:r>
    </w:p>
    <w:p>
      <w:pPr>
        <w:pStyle w:val="ListParagraph"/>
        <w:numPr>
          <w:ilvl w:val="0"/>
          <w:numId w:val="3"/>
        </w:numPr>
        <w:spacing w:after="80"/>
      </w:pPr>
      <w:r>
        <w:t xml:space="preserve">100 licensed beds, launched at 75–80 operational beds, scaling to 100 beds by Year 5.</w:t>
      </w:r>
    </w:p>
    <w:p>
      <w:pPr>
        <w:pStyle w:val="ListParagraph"/>
        <w:numPr>
          <w:ilvl w:val="0"/>
          <w:numId w:val="3"/>
        </w:numPr>
        <w:spacing w:after="80"/>
      </w:pPr>
      <w:r>
        <w:t xml:space="preserve">Location locked to the Kangra–Palampur corridor, Himachal Pradesh.</w:t>
      </w:r>
    </w:p>
    <w:p>
      <w:pPr>
        <w:pStyle w:val="ListParagraph"/>
        <w:numPr>
          <w:ilvl w:val="0"/>
          <w:numId w:val="3"/>
        </w:numPr>
        <w:spacing w:after="80"/>
      </w:pPr>
      <w:r>
        <w:t xml:space="preserve">₹50 crore Base Case CAPEX, with a ₹40 crore Lean Case and a ₹60 crore Upper Case.</w:t>
      </w:r>
    </w:p>
    <w:p>
      <w:pPr>
        <w:pStyle w:val="ListParagraph"/>
        <w:numPr>
          <w:ilvl w:val="0"/>
          <w:numId w:val="3"/>
        </w:numPr>
        <w:spacing w:after="80"/>
      </w:pPr>
      <w:r>
        <w:t xml:space="preserve">This is a hypothetical academic strategic model — not an existing hospital.</w:t>
      </w:r>
    </w:p>
    <w:p>
      <w:pPr>
        <w:pStyle w:val="ListParagraph"/>
        <w:numPr>
          <w:ilvl w:val="0"/>
          <w:numId w:val="3"/>
        </w:numPr>
        <w:spacing w:after="80"/>
      </w:pPr>
      <w:r>
        <w:t xml:space="preserve">Every quantitative input across the model is explicitly tagged as Actual Public Data, Benchmark, Assumption, or Calculated Value (see Source Register and 02_Assumptions).</w:t>
      </w:r>
    </w:p>
    <w:p>
      <w:pPr>
        <w:pStyle w:val="Heading1"/>
        <w:spacing w:after="150" w:before="300"/>
      </w:pPr>
      <w:r>
        <w:t xml:space="preserve">6.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F4E78" w:val="clear"/>
            <w:tcMar>
              <w:top w:type="dxa" w:w="80"/>
              <w:left w:type="dxa" w:w="120"/>
              <w:bottom w:type="dxa" w:w="80"/>
              <w:right w:type="dxa" w:w="120"/>
            </w:tcMar>
            <w:vAlign w:val="center"/>
          </w:tcPr>
          <w:p>
            <w:r>
              <w:rPr>
                <w:b/>
                <w:bCs/>
                <w:color w:val="FFFFFF"/>
                <w:sz w:val="20"/>
                <w:szCs w:val="20"/>
              </w:rPr>
              <w:t xml:space="preserve">Stakeholder Group</w:t>
            </w:r>
          </w:p>
        </w:tc>
        <w:tc>
          <w:tcPr>
            <w:tcW w:type="dxa" w:w="5000"/>
            <w:shd w:fill="1F4E78" w:val="clear"/>
            <w:tcMar>
              <w:top w:type="dxa" w:w="80"/>
              <w:left w:type="dxa" w:w="120"/>
              <w:bottom w:type="dxa" w:w="80"/>
              <w:right w:type="dxa" w:w="120"/>
            </w:tcMar>
            <w:vAlign w:val="center"/>
          </w:tcPr>
          <w:p>
            <w:r>
              <w:rPr>
                <w:b/>
                <w:bCs/>
                <w:color w:val="FFFFFF"/>
                <w:sz w:val="20"/>
                <w:szCs w:val="20"/>
              </w:rPr>
              <w:t xml:space="preserve">Interest / Role in the Project</w:t>
            </w:r>
          </w:p>
        </w:tc>
      </w:tr>
      <w:tr>
        <w:tc>
          <w:tcPr>
            <w:tcW w:type="dxa" w:w="4500"/>
            <w:tcMar>
              <w:top w:type="dxa" w:w="80"/>
              <w:left w:type="dxa" w:w="120"/>
              <w:bottom w:type="dxa" w:w="80"/>
              <w:right w:type="dxa" w:w="120"/>
            </w:tcMar>
            <w:vAlign w:val="center"/>
          </w:tcPr>
          <w:p>
            <w:r>
              <w:rPr>
                <w:b w:val="false"/>
                <w:bCs w:val="false"/>
                <w:color w:val="000000"/>
                <w:sz w:val="20"/>
                <w:szCs w:val="20"/>
              </w:rPr>
              <w:t xml:space="preserve">Academic evaluators</w:t>
            </w:r>
          </w:p>
        </w:tc>
        <w:tc>
          <w:tcPr>
            <w:tcW w:type="dxa" w:w="5000"/>
            <w:tcMar>
              <w:top w:type="dxa" w:w="80"/>
              <w:left w:type="dxa" w:w="120"/>
              <w:bottom w:type="dxa" w:w="80"/>
              <w:right w:type="dxa" w:w="120"/>
            </w:tcMar>
            <w:vAlign w:val="center"/>
          </w:tcPr>
          <w:p>
            <w:r>
              <w:rPr>
                <w:b w:val="false"/>
                <w:bCs w:val="false"/>
                <w:color w:val="000000"/>
                <w:sz w:val="20"/>
                <w:szCs w:val="20"/>
              </w:rPr>
              <w:t xml:space="preserve">Assess the rigour, structure and evidence-base of the capstone project</w:t>
            </w:r>
          </w:p>
        </w:tc>
      </w:tr>
      <w:tr>
        <w:tc>
          <w:tcPr>
            <w:tcW w:type="dxa" w:w="4500"/>
            <w:shd w:fill="F2F2F2" w:val="clear"/>
            <w:tcMar>
              <w:top w:type="dxa" w:w="80"/>
              <w:left w:type="dxa" w:w="120"/>
              <w:bottom w:type="dxa" w:w="80"/>
              <w:right w:type="dxa" w:w="120"/>
            </w:tcMar>
            <w:vAlign w:val="center"/>
          </w:tcPr>
          <w:p>
            <w:r>
              <w:rPr>
                <w:b w:val="false"/>
                <w:bCs w:val="false"/>
                <w:color w:val="000000"/>
                <w:sz w:val="20"/>
                <w:szCs w:val="20"/>
              </w:rPr>
              <w:t xml:space="preserve">Hypothetical promoter / investor group</w:t>
            </w:r>
          </w:p>
        </w:tc>
        <w:tc>
          <w:tcPr>
            <w:tcW w:type="dxa" w:w="5000"/>
            <w:shd w:fill="F2F2F2" w:val="clear"/>
            <w:tcMar>
              <w:top w:type="dxa" w:w="80"/>
              <w:left w:type="dxa" w:w="120"/>
              <w:bottom w:type="dxa" w:w="80"/>
              <w:right w:type="dxa" w:w="120"/>
            </w:tcMar>
            <w:vAlign w:val="center"/>
          </w:tcPr>
          <w:p>
            <w:r>
              <w:rPr>
                <w:b w:val="false"/>
                <w:bCs w:val="false"/>
                <w:color w:val="000000"/>
                <w:sz w:val="20"/>
                <w:szCs w:val="20"/>
              </w:rPr>
              <w:t xml:space="preserve">Would use the financial model to evaluate project viability and funding structure</w:t>
            </w:r>
          </w:p>
        </w:tc>
      </w:tr>
      <w:tr>
        <w:tc>
          <w:tcPr>
            <w:tcW w:type="dxa" w:w="4500"/>
            <w:tcMar>
              <w:top w:type="dxa" w:w="80"/>
              <w:left w:type="dxa" w:w="120"/>
              <w:bottom w:type="dxa" w:w="80"/>
              <w:right w:type="dxa" w:w="120"/>
            </w:tcMar>
            <w:vAlign w:val="center"/>
          </w:tcPr>
          <w:p>
            <w:r>
              <w:rPr>
                <w:b w:val="false"/>
                <w:bCs w:val="false"/>
                <w:color w:val="000000"/>
                <w:sz w:val="20"/>
                <w:szCs w:val="20"/>
              </w:rPr>
              <w:t xml:space="preserve">Hypothetical hospital management team</w:t>
            </w:r>
          </w:p>
        </w:tc>
        <w:tc>
          <w:tcPr>
            <w:tcW w:type="dxa" w:w="5000"/>
            <w:tcMar>
              <w:top w:type="dxa" w:w="80"/>
              <w:left w:type="dxa" w:w="120"/>
              <w:bottom w:type="dxa" w:w="80"/>
              <w:right w:type="dxa" w:w="120"/>
            </w:tcMar>
            <w:vAlign w:val="center"/>
          </w:tcPr>
          <w:p>
            <w:r>
              <w:rPr>
                <w:b w:val="false"/>
                <w:bCs w:val="false"/>
                <w:color w:val="000000"/>
                <w:sz w:val="20"/>
                <w:szCs w:val="20"/>
              </w:rPr>
              <w:t xml:space="preserve">Would use the operations, manpower and quality blueprints for execution planning</w:t>
            </w:r>
          </w:p>
        </w:tc>
      </w:tr>
      <w:tr>
        <w:tc>
          <w:tcPr>
            <w:tcW w:type="dxa" w:w="4500"/>
            <w:shd w:fill="F2F2F2" w:val="clear"/>
            <w:tcMar>
              <w:top w:type="dxa" w:w="80"/>
              <w:left w:type="dxa" w:w="120"/>
              <w:bottom w:type="dxa" w:w="80"/>
              <w:right w:type="dxa" w:w="120"/>
            </w:tcMar>
            <w:vAlign w:val="center"/>
          </w:tcPr>
          <w:p>
            <w:r>
              <w:rPr>
                <w:b w:val="false"/>
                <w:bCs w:val="false"/>
                <w:color w:val="000000"/>
                <w:sz w:val="20"/>
                <w:szCs w:val="20"/>
              </w:rPr>
              <w:t xml:space="preserve">Hypothetical regulatory bodies</w:t>
            </w:r>
          </w:p>
        </w:tc>
        <w:tc>
          <w:tcPr>
            <w:tcW w:type="dxa" w:w="5000"/>
            <w:shd w:fill="F2F2F2" w:val="clear"/>
            <w:tcMar>
              <w:top w:type="dxa" w:w="80"/>
              <w:left w:type="dxa" w:w="120"/>
              <w:bottom w:type="dxa" w:w="80"/>
              <w:right w:type="dxa" w:w="120"/>
            </w:tcMar>
            <w:vAlign w:val="center"/>
          </w:tcPr>
          <w:p>
            <w:r>
              <w:rPr>
                <w:b w:val="false"/>
                <w:bCs w:val="false"/>
                <w:color w:val="000000"/>
                <w:sz w:val="20"/>
                <w:szCs w:val="20"/>
              </w:rPr>
              <w:t xml:space="preserve">State Health Department, NABH, NABL — accreditation and licensing framework referenced</w:t>
            </w:r>
          </w:p>
        </w:tc>
      </w:tr>
      <w:tr>
        <w:tc>
          <w:tcPr>
            <w:tcW w:type="dxa" w:w="4500"/>
            <w:tcMar>
              <w:top w:type="dxa" w:w="80"/>
              <w:left w:type="dxa" w:w="120"/>
              <w:bottom w:type="dxa" w:w="80"/>
              <w:right w:type="dxa" w:w="120"/>
            </w:tcMar>
            <w:vAlign w:val="center"/>
          </w:tcPr>
          <w:p>
            <w:r>
              <w:rPr>
                <w:b w:val="false"/>
                <w:bCs w:val="false"/>
                <w:color w:val="000000"/>
                <w:sz w:val="20"/>
                <w:szCs w:val="20"/>
              </w:rPr>
              <w:t xml:space="preserve">Local community &amp; referral network</w:t>
            </w:r>
          </w:p>
        </w:tc>
        <w:tc>
          <w:tcPr>
            <w:tcW w:type="dxa" w:w="5000"/>
            <w:tcMar>
              <w:top w:type="dxa" w:w="80"/>
              <w:left w:type="dxa" w:w="120"/>
              <w:bottom w:type="dxa" w:w="80"/>
              <w:right w:type="dxa" w:w="120"/>
            </w:tcMar>
            <w:vAlign w:val="center"/>
          </w:tcPr>
          <w:p>
            <w:r>
              <w:rPr>
                <w:b w:val="false"/>
                <w:bCs w:val="false"/>
                <w:color w:val="000000"/>
                <w:sz w:val="20"/>
                <w:szCs w:val="20"/>
              </w:rPr>
              <w:t xml:space="preserve">Ultimate beneficiaries of improved access to tertiary care in the corridor</w:t>
            </w:r>
          </w:p>
        </w:tc>
      </w:tr>
    </w:tbl>
    <w:p>
      <w:pPr>
        <w:pStyle w:val="Heading1"/>
        <w:spacing w:after="150" w:before="300"/>
      </w:pPr>
      <w:r>
        <w:t xml:space="preserve">7. Research Questions</w:t>
      </w:r>
    </w:p>
    <w:p>
      <w:pPr>
        <w:pStyle w:val="ListParagraph"/>
        <w:numPr>
          <w:ilvl w:val="0"/>
          <w:numId w:val="4"/>
        </w:numPr>
        <w:spacing w:after="80"/>
      </w:pPr>
      <w:r>
        <w:t xml:space="preserve">Is there a quantifiable, evidence-based demand gap for tertiary multispecialty care in the Kangra–Palampur corridor?</w:t>
      </w:r>
    </w:p>
    <w:p>
      <w:pPr>
        <w:pStyle w:val="ListParagraph"/>
        <w:numPr>
          <w:ilvl w:val="0"/>
          <w:numId w:val="4"/>
        </w:numPr>
        <w:spacing w:after="80"/>
      </w:pPr>
      <w:r>
        <w:t xml:space="preserve">Is the Kangra–Palampur location feasible on transparent, weighted evaluation criteria, and what are the key risk flags?</w:t>
      </w:r>
    </w:p>
    <w:p>
      <w:pPr>
        <w:pStyle w:val="ListParagraph"/>
        <w:numPr>
          <w:ilvl w:val="0"/>
          <w:numId w:val="4"/>
        </w:numPr>
        <w:spacing w:after="80"/>
      </w:pPr>
      <w:r>
        <w:t xml:space="preserve">Does a ₹50 crore Base Case, 100-bed model achieve break-even and an acceptable debt-service coverage ratio within a reasonable horizon?</w:t>
      </w:r>
    </w:p>
    <w:p>
      <w:pPr>
        <w:pStyle w:val="ListParagraph"/>
        <w:numPr>
          <w:ilvl w:val="0"/>
          <w:numId w:val="4"/>
        </w:numPr>
        <w:spacing w:after="80"/>
      </w:pPr>
      <w:r>
        <w:t xml:space="preserve">What quality, operations and analytics systems are required to make the hospital NABH-ready and management-controllable from day one?</w:t>
      </w:r>
    </w:p>
    <w:p>
      <w:pPr>
        <w:pStyle w:val="ListParagraph"/>
        <w:numPr>
          <w:ilvl w:val="0"/>
          <w:numId w:val="4"/>
        </w:numPr>
        <w:spacing w:after="80"/>
      </w:pPr>
      <w:r>
        <w:t xml:space="preserve">How should Hospital 360 position itself competitively against RPGMC Tanda, Fortis Kangra, and out-of-state referral hospitals?</w:t>
      </w:r>
    </w:p>
    <w:p>
      <w:pPr>
        <w:pStyle w:val="Heading1"/>
        <w:spacing w:after="150" w:before="300"/>
      </w:pPr>
      <w:r>
        <w:t xml:space="preserve">8. Methodology</w:t>
      </w:r>
    </w:p>
    <w:p>
      <w:pPr>
        <w:spacing w:after="150"/>
        <w:jc w:val="both"/>
      </w:pPr>
      <w:r>
        <w:t xml:space="preserve">The project follows a structured, evidence-first methodology:</w:t>
      </w:r>
    </w:p>
    <w:p>
      <w:pPr>
        <w:pStyle w:val="ListParagraph"/>
        <w:numPr>
          <w:ilvl w:val="0"/>
          <w:numId w:val="3"/>
        </w:numPr>
        <w:spacing w:after="80"/>
      </w:pPr>
      <w:r>
        <w:t xml:space="preserve">Desk research on publicly available demographic data (Census of India 2011) and known regional healthcare infrastructure, compiled into a Source Register with full citations.</w:t>
      </w:r>
    </w:p>
    <w:p>
      <w:pPr>
        <w:pStyle w:val="ListParagraph"/>
        <w:numPr>
          <w:ilvl w:val="0"/>
          <w:numId w:val="3"/>
        </w:numPr>
        <w:spacing w:after="80"/>
      </w:pPr>
      <w:r>
        <w:t xml:space="preserve">Benchmark-driven financial and operational modelling using standard Indian private-hospital planning norms (CAPEX per bed, OPEX ratios, occupancy curves, staff:bed ratios) where hospital-specific local data is not publicly available.</w:t>
      </w:r>
    </w:p>
    <w:p>
      <w:pPr>
        <w:pStyle w:val="ListParagraph"/>
        <w:numPr>
          <w:ilvl w:val="0"/>
          <w:numId w:val="3"/>
        </w:numPr>
        <w:spacing w:after="80"/>
      </w:pPr>
      <w:r>
        <w:t xml:space="preserve">Transparent weighted-criteria scoring for location feasibility, with every weight and score explicitly shown as an editable assumption.</w:t>
      </w:r>
    </w:p>
    <w:p>
      <w:pPr>
        <w:pStyle w:val="ListParagraph"/>
        <w:numPr>
          <w:ilvl w:val="0"/>
          <w:numId w:val="3"/>
        </w:numPr>
        <w:spacing w:after="80"/>
      </w:pPr>
      <w:r>
        <w:t xml:space="preserve">Bottom-up build of the manpower, capacity and financial models in Microsoft Excel, with every downstream figure formula-linked back to a single Assumptions sheet.</w:t>
      </w:r>
    </w:p>
    <w:p>
      <w:pPr>
        <w:pStyle w:val="ListParagraph"/>
        <w:numPr>
          <w:ilvl w:val="0"/>
          <w:numId w:val="3"/>
        </w:numPr>
        <w:spacing w:after="80"/>
      </w:pPr>
      <w:r>
        <w:t xml:space="preserve">Synthetic data generation (clearly labelled) to demonstrate a star-schema analytics model and an executive dashboard layer.</w:t>
      </w:r>
    </w:p>
    <w:p>
      <w:pPr>
        <w:pStyle w:val="ListParagraph"/>
        <w:numPr>
          <w:ilvl w:val="0"/>
          <w:numId w:val="3"/>
        </w:numPr>
        <w:spacing w:after="80"/>
      </w:pPr>
      <w:r>
        <w:t xml:space="preserve">Structured strategic synthesis (SWOT/risk framing) into a final Go/No-Go recommendation, defaulting to CONDITIONAL GO pending real-world due diligence.</w:t>
      </w:r>
    </w:p>
    <w:p>
      <w:pPr>
        <w:pStyle w:val="Heading1"/>
        <w:spacing w:after="150" w:before="300"/>
      </w:pPr>
      <w:r>
        <w:t xml:space="preserve">9. Deliverables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4E78" w:val="clear"/>
            <w:tcMar>
              <w:top w:type="dxa" w:w="80"/>
              <w:left w:type="dxa" w:w="120"/>
              <w:bottom w:type="dxa" w:w="80"/>
              <w:right w:type="dxa" w:w="120"/>
            </w:tcMar>
            <w:vAlign w:val="center"/>
          </w:tcPr>
          <w:p>
            <w:r>
              <w:rPr>
                <w:b/>
                <w:bCs/>
                <w:color w:val="FFFFFF"/>
                <w:sz w:val="20"/>
                <w:szCs w:val="20"/>
              </w:rPr>
              <w:t xml:space="preserve">File</w:t>
            </w:r>
          </w:p>
        </w:tc>
        <w:tc>
          <w:tcPr>
            <w:tcW w:type="dxa" w:w="6200"/>
            <w:shd w:fill="1F4E78" w:val="clear"/>
            <w:tcMar>
              <w:top w:type="dxa" w:w="80"/>
              <w:left w:type="dxa" w:w="120"/>
              <w:bottom w:type="dxa" w:w="80"/>
              <w:right w:type="dxa" w:w="120"/>
            </w:tcMar>
            <w:vAlign w:val="center"/>
          </w:tcPr>
          <w:p>
            <w:r>
              <w:rPr>
                <w:b/>
                <w:bCs/>
                <w:color w:val="FFFFFF"/>
                <w:sz w:val="20"/>
                <w:szCs w:val="20"/>
              </w:rPr>
              <w:t xml:space="preserve">Description</w:t>
            </w:r>
          </w:p>
        </w:tc>
      </w:tr>
      <w:tr>
        <w:tc>
          <w:tcPr>
            <w:tcW w:type="dxa" w:w="3300"/>
            <w:tcMar>
              <w:top w:type="dxa" w:w="80"/>
              <w:left w:type="dxa" w:w="120"/>
              <w:bottom w:type="dxa" w:w="80"/>
              <w:right w:type="dxa" w:w="120"/>
            </w:tcMar>
            <w:vAlign w:val="center"/>
          </w:tcPr>
          <w:p>
            <w:r>
              <w:rPr>
                <w:b w:val="false"/>
                <w:bCs w:val="false"/>
                <w:color w:val="000000"/>
                <w:sz w:val="20"/>
                <w:szCs w:val="20"/>
              </w:rPr>
              <w:t xml:space="preserve">Hospital_360_HP_Master_Model.xlsx</w:t>
            </w:r>
          </w:p>
        </w:tc>
        <w:tc>
          <w:tcPr>
            <w:tcW w:type="dxa" w:w="6200"/>
            <w:tcMar>
              <w:top w:type="dxa" w:w="80"/>
              <w:left w:type="dxa" w:w="120"/>
              <w:bottom w:type="dxa" w:w="80"/>
              <w:right w:type="dxa" w:w="120"/>
            </w:tcMar>
            <w:vAlign w:val="center"/>
          </w:tcPr>
          <w:p>
            <w:r>
              <w:rPr>
                <w:b w:val="false"/>
                <w:bCs w:val="false"/>
                <w:color w:val="000000"/>
                <w:sz w:val="20"/>
                <w:szCs w:val="20"/>
              </w:rPr>
              <w:t xml:space="preserve">31-sheet master Excel model — assumptions, market data, location, capacity, manpower, 10-year financials, operations, quality, competitor benchmark, analytics</w:t>
            </w:r>
          </w:p>
        </w:tc>
      </w:tr>
      <w:tr>
        <w:tc>
          <w:tcPr>
            <w:tcW w:type="dxa" w:w="3300"/>
            <w:shd w:fill="F2F2F2" w:val="clear"/>
            <w:tcMar>
              <w:top w:type="dxa" w:w="80"/>
              <w:left w:type="dxa" w:w="120"/>
              <w:bottom w:type="dxa" w:w="80"/>
              <w:right w:type="dxa" w:w="120"/>
            </w:tcMar>
            <w:vAlign w:val="center"/>
          </w:tcPr>
          <w:p>
            <w:r>
              <w:rPr>
                <w:b w:val="false"/>
                <w:bCs w:val="false"/>
                <w:color w:val="000000"/>
                <w:sz w:val="20"/>
                <w:szCs w:val="20"/>
              </w:rPr>
              <w:t xml:space="preserve">Hospital_360_Source_Register.xlsx</w:t>
            </w:r>
          </w:p>
        </w:tc>
        <w:tc>
          <w:tcPr>
            <w:tcW w:type="dxa" w:w="6200"/>
            <w:shd w:fill="F2F2F2" w:val="clear"/>
            <w:tcMar>
              <w:top w:type="dxa" w:w="80"/>
              <w:left w:type="dxa" w:w="120"/>
              <w:bottom w:type="dxa" w:w="80"/>
              <w:right w:type="dxa" w:w="120"/>
            </w:tcMar>
            <w:vAlign w:val="center"/>
          </w:tcPr>
          <w:p>
            <w:r>
              <w:rPr>
                <w:b w:val="false"/>
                <w:bCs w:val="false"/>
                <w:color w:val="000000"/>
                <w:sz w:val="20"/>
                <w:szCs w:val="20"/>
              </w:rPr>
              <w:t xml:space="preserve">Standalone citation register for every externally-sourced figure</w:t>
            </w:r>
          </w:p>
        </w:tc>
      </w:tr>
      <w:tr>
        <w:tc>
          <w:tcPr>
            <w:tcW w:type="dxa" w:w="3300"/>
            <w:tcMar>
              <w:top w:type="dxa" w:w="80"/>
              <w:left w:type="dxa" w:w="120"/>
              <w:bottom w:type="dxa" w:w="80"/>
              <w:right w:type="dxa" w:w="120"/>
            </w:tcMar>
            <w:vAlign w:val="center"/>
          </w:tcPr>
          <w:p>
            <w:r>
              <w:rPr>
                <w:b w:val="false"/>
                <w:bCs w:val="false"/>
                <w:color w:val="000000"/>
                <w:sz w:val="20"/>
                <w:szCs w:val="20"/>
              </w:rPr>
              <w:t xml:space="preserve">Hospital_360_Synthetic_Data.xlsx</w:t>
            </w:r>
          </w:p>
        </w:tc>
        <w:tc>
          <w:tcPr>
            <w:tcW w:type="dxa" w:w="6200"/>
            <w:tcMar>
              <w:top w:type="dxa" w:w="80"/>
              <w:left w:type="dxa" w:w="120"/>
              <w:bottom w:type="dxa" w:w="80"/>
              <w:right w:type="dxa" w:w="120"/>
            </w:tcMar>
            <w:vAlign w:val="center"/>
          </w:tcPr>
          <w:p>
            <w:r>
              <w:rPr>
                <w:b w:val="false"/>
                <w:bCs w:val="false"/>
                <w:color w:val="000000"/>
                <w:sz w:val="20"/>
                <w:szCs w:val="20"/>
              </w:rPr>
              <w:t xml:space="preserve">Standalone synthetic analytics dataset + data dictionary (star schema)</w:t>
            </w:r>
          </w:p>
        </w:tc>
      </w:tr>
      <w:tr>
        <w:tc>
          <w:tcPr>
            <w:tcW w:type="dxa" w:w="3300"/>
            <w:shd w:fill="F2F2F2" w:val="clear"/>
            <w:tcMar>
              <w:top w:type="dxa" w:w="80"/>
              <w:left w:type="dxa" w:w="120"/>
              <w:bottom w:type="dxa" w:w="80"/>
              <w:right w:type="dxa" w:w="120"/>
            </w:tcMar>
            <w:vAlign w:val="center"/>
          </w:tcPr>
          <w:p>
            <w:r>
              <w:rPr>
                <w:b w:val="false"/>
                <w:bCs w:val="false"/>
                <w:color w:val="000000"/>
                <w:sz w:val="20"/>
                <w:szCs w:val="20"/>
              </w:rPr>
              <w:t xml:space="preserve">Hospital_360_Project_Charter.docx</w:t>
            </w:r>
          </w:p>
        </w:tc>
        <w:tc>
          <w:tcPr>
            <w:tcW w:type="dxa" w:w="6200"/>
            <w:shd w:fill="F2F2F2" w:val="clear"/>
            <w:tcMar>
              <w:top w:type="dxa" w:w="80"/>
              <w:left w:type="dxa" w:w="120"/>
              <w:bottom w:type="dxa" w:w="80"/>
              <w:right w:type="dxa" w:w="120"/>
            </w:tcMar>
            <w:vAlign w:val="center"/>
          </w:tcPr>
          <w:p>
            <w:r>
              <w:rPr>
                <w:b w:val="false"/>
                <w:bCs w:val="false"/>
                <w:color w:val="000000"/>
                <w:sz w:val="20"/>
                <w:szCs w:val="20"/>
              </w:rPr>
              <w:t xml:space="preserve">This document</w:t>
            </w:r>
          </w:p>
        </w:tc>
      </w:tr>
      <w:tr>
        <w:tc>
          <w:tcPr>
            <w:tcW w:type="dxa" w:w="3300"/>
            <w:tcMar>
              <w:top w:type="dxa" w:w="80"/>
              <w:left w:type="dxa" w:w="120"/>
              <w:bottom w:type="dxa" w:w="80"/>
              <w:right w:type="dxa" w:w="120"/>
            </w:tcMar>
            <w:vAlign w:val="center"/>
          </w:tcPr>
          <w:p>
            <w:r>
              <w:rPr>
                <w:b w:val="false"/>
                <w:bCs w:val="false"/>
                <w:color w:val="000000"/>
                <w:sz w:val="20"/>
                <w:szCs w:val="20"/>
              </w:rPr>
              <w:t xml:space="preserve">Hospital_360_HP_Market_Analysis.docx</w:t>
            </w:r>
          </w:p>
        </w:tc>
        <w:tc>
          <w:tcPr>
            <w:tcW w:type="dxa" w:w="6200"/>
            <w:tcMar>
              <w:top w:type="dxa" w:w="80"/>
              <w:left w:type="dxa" w:w="120"/>
              <w:bottom w:type="dxa" w:w="80"/>
              <w:right w:type="dxa" w:w="120"/>
            </w:tcMar>
            <w:vAlign w:val="center"/>
          </w:tcPr>
          <w:p>
            <w:r>
              <w:rPr>
                <w:b w:val="false"/>
                <w:bCs w:val="false"/>
                <w:color w:val="000000"/>
                <w:sz w:val="20"/>
                <w:szCs w:val="20"/>
              </w:rPr>
              <w:t xml:space="preserve">Market opportunity and gap analysis narrative</w:t>
            </w:r>
          </w:p>
        </w:tc>
      </w:tr>
      <w:tr>
        <w:tc>
          <w:tcPr>
            <w:tcW w:type="dxa" w:w="3300"/>
            <w:shd w:fill="F2F2F2" w:val="clear"/>
            <w:tcMar>
              <w:top w:type="dxa" w:w="80"/>
              <w:left w:type="dxa" w:w="120"/>
              <w:bottom w:type="dxa" w:w="80"/>
              <w:right w:type="dxa" w:w="120"/>
            </w:tcMar>
            <w:vAlign w:val="center"/>
          </w:tcPr>
          <w:p>
            <w:r>
              <w:rPr>
                <w:b w:val="false"/>
                <w:bCs w:val="false"/>
                <w:color w:val="000000"/>
                <w:sz w:val="20"/>
                <w:szCs w:val="20"/>
              </w:rPr>
              <w:t xml:space="preserve">Location_Feasibility_Notes.docx</w:t>
            </w:r>
          </w:p>
        </w:tc>
        <w:tc>
          <w:tcPr>
            <w:tcW w:type="dxa" w:w="6200"/>
            <w:shd w:fill="F2F2F2" w:val="clear"/>
            <w:tcMar>
              <w:top w:type="dxa" w:w="80"/>
              <w:left w:type="dxa" w:w="120"/>
              <w:bottom w:type="dxa" w:w="80"/>
              <w:right w:type="dxa" w:w="120"/>
            </w:tcMar>
            <w:vAlign w:val="center"/>
          </w:tcPr>
          <w:p>
            <w:r>
              <w:rPr>
                <w:b w:val="false"/>
                <w:bCs w:val="false"/>
                <w:color w:val="000000"/>
                <w:sz w:val="20"/>
                <w:szCs w:val="20"/>
              </w:rPr>
              <w:t xml:space="preserve">Location scorecard narrative and risk flags</w:t>
            </w:r>
          </w:p>
        </w:tc>
      </w:tr>
      <w:tr>
        <w:tc>
          <w:tcPr>
            <w:tcW w:type="dxa" w:w="3300"/>
            <w:tcMar>
              <w:top w:type="dxa" w:w="80"/>
              <w:left w:type="dxa" w:w="120"/>
              <w:bottom w:type="dxa" w:w="80"/>
              <w:right w:type="dxa" w:w="120"/>
            </w:tcMar>
            <w:vAlign w:val="center"/>
          </w:tcPr>
          <w:p>
            <w:r>
              <w:rPr>
                <w:b w:val="false"/>
                <w:bCs w:val="false"/>
                <w:color w:val="000000"/>
                <w:sz w:val="20"/>
                <w:szCs w:val="20"/>
              </w:rPr>
              <w:t xml:space="preserve">Hospital_360_Service_Model.docx</w:t>
            </w:r>
          </w:p>
        </w:tc>
        <w:tc>
          <w:tcPr>
            <w:tcW w:type="dxa" w:w="6200"/>
            <w:tcMar>
              <w:top w:type="dxa" w:w="80"/>
              <w:left w:type="dxa" w:w="120"/>
              <w:bottom w:type="dxa" w:w="80"/>
              <w:right w:type="dxa" w:w="120"/>
            </w:tcMar>
            <w:vAlign w:val="center"/>
          </w:tcPr>
          <w:p>
            <w:r>
              <w:rPr>
                <w:b w:val="false"/>
                <w:bCs w:val="false"/>
                <w:color w:val="000000"/>
                <w:sz w:val="20"/>
                <w:szCs w:val="20"/>
              </w:rPr>
              <w:t xml:space="preserve">Business Model Canvas and phased service portfolio</w:t>
            </w:r>
          </w:p>
        </w:tc>
      </w:tr>
      <w:tr>
        <w:tc>
          <w:tcPr>
            <w:tcW w:type="dxa" w:w="3300"/>
            <w:shd w:fill="F2F2F2" w:val="clear"/>
            <w:tcMar>
              <w:top w:type="dxa" w:w="80"/>
              <w:left w:type="dxa" w:w="120"/>
              <w:bottom w:type="dxa" w:w="80"/>
              <w:right w:type="dxa" w:w="120"/>
            </w:tcMar>
            <w:vAlign w:val="center"/>
          </w:tcPr>
          <w:p>
            <w:r>
              <w:rPr>
                <w:b w:val="false"/>
                <w:bCs w:val="false"/>
                <w:color w:val="000000"/>
                <w:sz w:val="20"/>
                <w:szCs w:val="20"/>
              </w:rPr>
              <w:t xml:space="preserve">Manpower_Assumptions.docx</w:t>
            </w:r>
          </w:p>
        </w:tc>
        <w:tc>
          <w:tcPr>
            <w:tcW w:type="dxa" w:w="6200"/>
            <w:shd w:fill="F2F2F2" w:val="clear"/>
            <w:tcMar>
              <w:top w:type="dxa" w:w="80"/>
              <w:left w:type="dxa" w:w="120"/>
              <w:bottom w:type="dxa" w:w="80"/>
              <w:right w:type="dxa" w:w="120"/>
            </w:tcMar>
            <w:vAlign w:val="center"/>
          </w:tcPr>
          <w:p>
            <w:r>
              <w:rPr>
                <w:b w:val="false"/>
                <w:bCs w:val="false"/>
                <w:color w:val="000000"/>
                <w:sz w:val="20"/>
                <w:szCs w:val="20"/>
              </w:rPr>
              <w:t xml:space="preserve">HR model narrative and organisation structure</w:t>
            </w:r>
          </w:p>
        </w:tc>
      </w:tr>
      <w:tr>
        <w:tc>
          <w:tcPr>
            <w:tcW w:type="dxa" w:w="3300"/>
            <w:tcMar>
              <w:top w:type="dxa" w:w="80"/>
              <w:left w:type="dxa" w:w="120"/>
              <w:bottom w:type="dxa" w:w="80"/>
              <w:right w:type="dxa" w:w="120"/>
            </w:tcMar>
            <w:vAlign w:val="center"/>
          </w:tcPr>
          <w:p>
            <w:r>
              <w:rPr>
                <w:b w:val="false"/>
                <w:bCs w:val="false"/>
                <w:color w:val="000000"/>
                <w:sz w:val="20"/>
                <w:szCs w:val="20"/>
              </w:rPr>
              <w:t xml:space="preserve">Hospital_360_Operations_SOP.docx</w:t>
            </w:r>
          </w:p>
        </w:tc>
        <w:tc>
          <w:tcPr>
            <w:tcW w:type="dxa" w:w="6200"/>
            <w:tcMar>
              <w:top w:type="dxa" w:w="80"/>
              <w:left w:type="dxa" w:w="120"/>
              <w:bottom w:type="dxa" w:w="80"/>
              <w:right w:type="dxa" w:w="120"/>
            </w:tcMar>
            <w:vAlign w:val="center"/>
          </w:tcPr>
          <w:p>
            <w:r>
              <w:rPr>
                <w:b w:val="false"/>
                <w:bCs w:val="false"/>
                <w:color w:val="000000"/>
                <w:sz w:val="20"/>
                <w:szCs w:val="20"/>
              </w:rPr>
              <w:t xml:space="preserve">Patient-flow SOPs and KPI catalogue</w:t>
            </w:r>
          </w:p>
        </w:tc>
      </w:tr>
      <w:tr>
        <w:tc>
          <w:tcPr>
            <w:tcW w:type="dxa" w:w="3300"/>
            <w:shd w:fill="F2F2F2" w:val="clear"/>
            <w:tcMar>
              <w:top w:type="dxa" w:w="80"/>
              <w:left w:type="dxa" w:w="120"/>
              <w:bottom w:type="dxa" w:w="80"/>
              <w:right w:type="dxa" w:w="120"/>
            </w:tcMar>
            <w:vAlign w:val="center"/>
          </w:tcPr>
          <w:p>
            <w:r>
              <w:rPr>
                <w:b w:val="false"/>
                <w:bCs w:val="false"/>
                <w:color w:val="000000"/>
                <w:sz w:val="20"/>
                <w:szCs w:val="20"/>
              </w:rPr>
              <w:t xml:space="preserve">Quality_Framework.docx</w:t>
            </w:r>
          </w:p>
        </w:tc>
        <w:tc>
          <w:tcPr>
            <w:tcW w:type="dxa" w:w="6200"/>
            <w:shd w:fill="F2F2F2" w:val="clear"/>
            <w:tcMar>
              <w:top w:type="dxa" w:w="80"/>
              <w:left w:type="dxa" w:w="120"/>
              <w:bottom w:type="dxa" w:w="80"/>
              <w:right w:type="dxa" w:w="120"/>
            </w:tcMar>
            <w:vAlign w:val="center"/>
          </w:tcPr>
          <w:p>
            <w:r>
              <w:rPr>
                <w:b w:val="false"/>
                <w:bCs w:val="false"/>
                <w:color w:val="000000"/>
                <w:sz w:val="20"/>
                <w:szCs w:val="20"/>
              </w:rPr>
              <w:t xml:space="preserve">NABH-oriented quality framework and readiness roadmap</w:t>
            </w:r>
          </w:p>
        </w:tc>
      </w:tr>
      <w:tr>
        <w:tc>
          <w:tcPr>
            <w:tcW w:type="dxa" w:w="3300"/>
            <w:tcMar>
              <w:top w:type="dxa" w:w="80"/>
              <w:left w:type="dxa" w:w="120"/>
              <w:bottom w:type="dxa" w:w="80"/>
              <w:right w:type="dxa" w:w="120"/>
            </w:tcMar>
            <w:vAlign w:val="center"/>
          </w:tcPr>
          <w:p>
            <w:r>
              <w:rPr>
                <w:b w:val="false"/>
                <w:bCs w:val="false"/>
                <w:color w:val="000000"/>
                <w:sz w:val="20"/>
                <w:szCs w:val="20"/>
              </w:rPr>
              <w:t xml:space="preserve">Hospital_360_Final_Report.docx</w:t>
            </w:r>
          </w:p>
        </w:tc>
        <w:tc>
          <w:tcPr>
            <w:tcW w:type="dxa" w:w="6200"/>
            <w:tcMar>
              <w:top w:type="dxa" w:w="80"/>
              <w:left w:type="dxa" w:w="120"/>
              <w:bottom w:type="dxa" w:w="80"/>
              <w:right w:type="dxa" w:w="120"/>
            </w:tcMar>
            <w:vAlign w:val="center"/>
          </w:tcPr>
          <w:p>
            <w:r>
              <w:rPr>
                <w:b w:val="false"/>
                <w:bCs w:val="false"/>
                <w:color w:val="000000"/>
                <w:sz w:val="20"/>
                <w:szCs w:val="20"/>
              </w:rPr>
              <w:t xml:space="preserve">Comprehensive final strategic report</w:t>
            </w:r>
          </w:p>
        </w:tc>
      </w:tr>
      <w:tr>
        <w:tc>
          <w:tcPr>
            <w:tcW w:type="dxa" w:w="3300"/>
            <w:shd w:fill="F2F2F2" w:val="clear"/>
            <w:tcMar>
              <w:top w:type="dxa" w:w="80"/>
              <w:left w:type="dxa" w:w="120"/>
              <w:bottom w:type="dxa" w:w="80"/>
              <w:right w:type="dxa" w:w="120"/>
            </w:tcMar>
            <w:vAlign w:val="center"/>
          </w:tcPr>
          <w:p>
            <w:r>
              <w:rPr>
                <w:b w:val="false"/>
                <w:bCs w:val="false"/>
                <w:color w:val="000000"/>
                <w:sz w:val="20"/>
                <w:szCs w:val="20"/>
              </w:rPr>
              <w:t xml:space="preserve">Hospital_360_Final_Strategy.docx</w:t>
            </w:r>
          </w:p>
        </w:tc>
        <w:tc>
          <w:tcPr>
            <w:tcW w:type="dxa" w:w="6200"/>
            <w:shd w:fill="F2F2F2" w:val="clear"/>
            <w:tcMar>
              <w:top w:type="dxa" w:w="80"/>
              <w:left w:type="dxa" w:w="120"/>
              <w:bottom w:type="dxa" w:w="80"/>
              <w:right w:type="dxa" w:w="120"/>
            </w:tcMar>
            <w:vAlign w:val="center"/>
          </w:tcPr>
          <w:p>
            <w:r>
              <w:rPr>
                <w:b w:val="false"/>
                <w:bCs w:val="false"/>
                <w:color w:val="000000"/>
                <w:sz w:val="20"/>
                <w:szCs w:val="20"/>
              </w:rPr>
              <w:t xml:space="preserve">Final strategic recommendation and Go/No-Go</w:t>
            </w:r>
          </w:p>
        </w:tc>
      </w:tr>
      <w:tr>
        <w:tc>
          <w:tcPr>
            <w:tcW w:type="dxa" w:w="3300"/>
            <w:tcMar>
              <w:top w:type="dxa" w:w="80"/>
              <w:left w:type="dxa" w:w="120"/>
              <w:bottom w:type="dxa" w:w="80"/>
              <w:right w:type="dxa" w:w="120"/>
            </w:tcMar>
            <w:vAlign w:val="center"/>
          </w:tcPr>
          <w:p>
            <w:r>
              <w:rPr>
                <w:b w:val="false"/>
                <w:bCs w:val="false"/>
                <w:color w:val="000000"/>
                <w:sz w:val="20"/>
                <w:szCs w:val="20"/>
              </w:rPr>
              <w:t xml:space="preserve">Hospital_360_Final_Presentation.pptx</w:t>
            </w:r>
          </w:p>
        </w:tc>
        <w:tc>
          <w:tcPr>
            <w:tcW w:type="dxa" w:w="6200"/>
            <w:tcMar>
              <w:top w:type="dxa" w:w="80"/>
              <w:left w:type="dxa" w:w="120"/>
              <w:bottom w:type="dxa" w:w="80"/>
              <w:right w:type="dxa" w:w="120"/>
            </w:tcMar>
            <w:vAlign w:val="center"/>
          </w:tcPr>
          <w:p>
            <w:r>
              <w:rPr>
                <w:b w:val="false"/>
                <w:bCs w:val="false"/>
                <w:color w:val="000000"/>
                <w:sz w:val="20"/>
                <w:szCs w:val="20"/>
              </w:rPr>
              <w:t xml:space="preserve">15-slide executive presentation</w:t>
            </w:r>
          </w:p>
        </w:tc>
      </w:tr>
      <w:tr>
        <w:tc>
          <w:tcPr>
            <w:tcW w:type="dxa" w:w="3300"/>
            <w:shd w:fill="F2F2F2" w:val="clear"/>
            <w:tcMar>
              <w:top w:type="dxa" w:w="80"/>
              <w:left w:type="dxa" w:w="120"/>
              <w:bottom w:type="dxa" w:w="80"/>
              <w:right w:type="dxa" w:w="120"/>
            </w:tcMar>
            <w:vAlign w:val="center"/>
          </w:tcPr>
          <w:p>
            <w:r>
              <w:rPr>
                <w:b w:val="false"/>
                <w:bCs w:val="false"/>
                <w:color w:val="000000"/>
                <w:sz w:val="20"/>
                <w:szCs w:val="20"/>
              </w:rPr>
              <w:t xml:space="preserve">Hospital_360_Dashboard.html</w:t>
            </w:r>
          </w:p>
        </w:tc>
        <w:tc>
          <w:tcPr>
            <w:tcW w:type="dxa" w:w="6200"/>
            <w:shd w:fill="F2F2F2" w:val="clear"/>
            <w:tcMar>
              <w:top w:type="dxa" w:w="80"/>
              <w:left w:type="dxa" w:w="120"/>
              <w:bottom w:type="dxa" w:w="80"/>
              <w:right w:type="dxa" w:w="120"/>
            </w:tcMar>
            <w:vAlign w:val="center"/>
          </w:tcPr>
          <w:p>
            <w:r>
              <w:rPr>
                <w:b w:val="false"/>
                <w:bCs w:val="false"/>
                <w:color w:val="000000"/>
                <w:sz w:val="20"/>
                <w:szCs w:val="20"/>
              </w:rPr>
              <w:t xml:space="preserve">Interactive analytics dashboard (in place of a native Power BI .pbix file)</w:t>
            </w:r>
          </w:p>
        </w:tc>
      </w:tr>
    </w:tbl>
    <w:p>
      <w:pPr>
        <w:pStyle w:val="Heading1"/>
        <w:spacing w:after="150" w:before="300"/>
      </w:pPr>
      <w:r>
        <w:t xml:space="preserve">10. Decision Framework</w:t>
      </w:r>
    </w:p>
    <w:p>
      <w:pPr>
        <w:spacing w:after="150"/>
        <w:jc w:val="both"/>
      </w:pPr>
      <w:r>
        <w:t xml:space="preserve">CONDITIONAL GO is used as the default decision status throughout this project. The model provides a structured, evidence-labelled basis for evaluating the concept — it explicitly does not replace site-specific due diligence (soil, title, zoning), formal demand studies, regulatory clearances (health-facility licensing, fire-NOC, biomedical-waste authorisation, NABH/NABL certification), or lender/investor-grade financial appraisal.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Hospital 360 — Project Charter</w:t>
    </w:r>
    <w: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F4E78"/>
        <w:sz w:val="16"/>
        <w:szCs w:val="16"/>
      </w:rPr>
      <w:t xml:space="preserve">HOSPITAL 360</w:t>
    </w:r>
    <w:r>
      <w:t xml:space="preserve">	</w:t>
    </w:r>
    <w:r>
      <w:rPr>
        <w:color w:val="595959"/>
        <w:sz w:val="16"/>
        <w:szCs w:val="16"/>
      </w:rPr>
      <w:t xml:space="preserve">Project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abstractNum w:abstractNumId="5" w15:restartNumberingAfterBreak="0">
    <w:multiLevelType w:val="hybridMultilevel"/>
    <w:lvl w:ilvl="0" w15:tentative="1">
      <w:start w:val="1"/>
      <w:numFmt w:val="decimal"/>
      <w:lvlText w:val="%1."/>
      <w:lvlJc w:val="left"/>
      <w:pPr>
        <w:ind w:left="576" w:hanging="360"/>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abstractNum w:abstractNumId="8" w15:restartNumberingAfterBreak="0">
    <w:multiLevelType w:val="hybridMultilevel"/>
    <w:lvl w:ilvl="0" w15:tentative="1">
      <w:start w:val="1"/>
      <w:numFmt w:val="decimal"/>
      <w:lvlText w:val="%1."/>
      <w:lvlJc w:val="left"/>
      <w:pPr>
        <w:ind w:left="576" w:hanging="360"/>
      </w:pPr>
    </w:lvl>
  </w:abstractNum>
  <w:abstractNum w:abstractNumId="9" w15:restartNumberingAfterBreak="0">
    <w:multiLevelType w:val="hybridMultilevel"/>
    <w:lvl w:ilvl="0" w15:tentative="1">
      <w:start w:val="1"/>
      <w:numFmt w:val="decimal"/>
      <w:lvlText w:val="%1."/>
      <w:lvlJc w:val="left"/>
      <w:pPr>
        <w:ind w:left="576" w:hanging="360"/>
      </w:pPr>
    </w:lvl>
  </w:abstractNum>
  <w:abstractNum w:abstractNumId="10" w15:restartNumberingAfterBreak="0">
    <w:multiLevelType w:val="hybridMultilevel"/>
    <w:lvl w:ilvl="0" w15:tentative="1">
      <w:start w:val="1"/>
      <w:numFmt w:val="decimal"/>
      <w:lvlText w:val="%1."/>
      <w:lvlJc w:val="left"/>
      <w:pPr>
        <w:ind w:left="576" w:hanging="360"/>
      </w:pPr>
    </w:lvl>
  </w:abstractNum>
  <w:abstractNum w:abstractNumId="11" w15:restartNumberingAfterBreak="0">
    <w:multiLevelType w:val="hybridMultilevel"/>
    <w:lvl w:ilvl="0" w15:tentative="1">
      <w:start w:val="1"/>
      <w:numFmt w:val="decimal"/>
      <w:lvlText w:val="%1."/>
      <w:lvlJc w:val="left"/>
      <w:pPr>
        <w:ind w:left="576" w:hanging="360"/>
      </w:pPr>
    </w:lvl>
  </w:abstractNum>
  <w:abstractNum w:abstractNumId="12" w15:restartNumberingAfterBreak="0">
    <w:multiLevelType w:val="hybridMultilevel"/>
    <w:lvl w:ilvl="0" w15:tentative="1">
      <w:start w:val="1"/>
      <w:numFmt w:val="decimal"/>
      <w:lvlText w:val="%1."/>
      <w:lvlJc w:val="left"/>
      <w:pPr>
        <w:ind w:left="576" w:hanging="360"/>
      </w:pPr>
    </w:lvl>
  </w:abstractNum>
  <w:abstractNum w:abstractNumId="13" w15:restartNumberingAfterBreak="0">
    <w:multiLevelType w:val="hybridMultilevel"/>
    <w:lvl w:ilvl="0" w15:tentative="1">
      <w:start w:val="1"/>
      <w:numFmt w:val="decimal"/>
      <w:lvlText w:val="%1."/>
      <w:lvlJc w:val="left"/>
      <w:pPr>
        <w:ind w:left="576" w:hanging="360"/>
      </w:pPr>
    </w:lvl>
  </w:abstractNum>
  <w:abstractNum w:abstractNumId="14" w15:restartNumberingAfterBreak="0">
    <w:multiLevelType w:val="hybridMultilevel"/>
    <w:lvl w:ilvl="0" w15:tentative="1">
      <w:start w:val="1"/>
      <w:numFmt w:val="decimal"/>
      <w:lvlText w:val="%1."/>
      <w:lvlJc w:val="left"/>
      <w:pPr>
        <w:ind w:left="576" w:hanging="360"/>
      </w:pPr>
    </w:lvl>
  </w:abstractNum>
  <w:abstractNum w:abstractNumId="15" w15:restartNumberingAfterBreak="0">
    <w:multiLevelType w:val="hybridMultilevel"/>
    <w:lvl w:ilvl="0" w15:tentative="1">
      <w:start w:val="1"/>
      <w:numFmt w:val="decimal"/>
      <w:lvlText w:val="%1."/>
      <w:lvlJc w:val="left"/>
      <w:pPr>
        <w:ind w:left="576" w:hanging="360"/>
      </w:pPr>
    </w:lvl>
  </w:abstractNum>
  <w:abstractNum w:abstractNumId="16" w15:restartNumberingAfterBreak="0">
    <w:multiLevelType w:val="hybridMultilevel"/>
    <w:lvl w:ilvl="0" w15:tentative="1">
      <w:start w:val="1"/>
      <w:numFmt w:val="decimal"/>
      <w:lvlText w:val="%1."/>
      <w:lvlJc w:val="left"/>
      <w:pPr>
        <w:ind w:left="576" w:hanging="360"/>
      </w:pPr>
    </w:lvl>
  </w:abstractNum>
  <w:abstractNum w:abstractNumId="17" w15:restartNumberingAfterBreak="0">
    <w:multiLevelType w:val="hybridMultilevel"/>
    <w:lvl w:ilvl="0" w15:tentative="1">
      <w:start w:val="1"/>
      <w:numFmt w:val="decimal"/>
      <w:lvlText w:val="%1."/>
      <w:lvlJc w:val="left"/>
      <w:pPr>
        <w:ind w:left="576" w:hanging="360"/>
      </w:pPr>
    </w:lvl>
  </w:abstractNum>
  <w:abstractNum w:abstractNumId="18" w15:restartNumberingAfterBreak="0">
    <w:multiLevelType w:val="hybridMultilevel"/>
    <w:lvl w:ilvl="0" w15:tentative="1">
      <w:start w:val="1"/>
      <w:numFmt w:val="decimal"/>
      <w:lvlText w:val="%1."/>
      <w:lvlJc w:val="left"/>
      <w:pPr>
        <w:ind w:left="576" w:hanging="360"/>
      </w:pPr>
    </w:lvl>
  </w:abstractNum>
  <w:abstractNum w:abstractNumId="19" w15:restartNumberingAfterBreak="0">
    <w:multiLevelType w:val="hybridMultilevel"/>
    <w:lvl w:ilvl="0" w15:tentative="1">
      <w:start w:val="1"/>
      <w:numFmt w:val="decimal"/>
      <w:lvlText w:val="%1."/>
      <w:lvlJc w:val="left"/>
      <w:pPr>
        <w:ind w:left="576" w:hanging="360"/>
      </w:pPr>
    </w:lvl>
  </w:abstractNum>
  <w:abstractNum w:abstractNumId="20" w15:restartNumberingAfterBreak="0">
    <w:multiLevelType w:val="hybridMultilevel"/>
    <w:lvl w:ilvl="0" w15:tentative="1">
      <w:start w:val="1"/>
      <w:numFmt w:val="decimal"/>
      <w:lvlText w:val="%1."/>
      <w:lvlJc w:val="left"/>
      <w:pPr>
        <w:ind w:left="576" w:hanging="360"/>
      </w:pPr>
    </w:lvl>
  </w:abstractNum>
  <w:abstractNum w:abstractNumId="21" w15:restartNumberingAfterBreak="0">
    <w:multiLevelType w:val="hybridMultilevel"/>
    <w:lvl w:ilvl="0" w15:tentative="1">
      <w:start w:val="1"/>
      <w:numFmt w:val="decimal"/>
      <w:lvlText w:val="%1."/>
      <w:lvlJc w:val="left"/>
      <w:pPr>
        <w:ind w:left="576" w:hanging="360"/>
      </w:pPr>
    </w:lvl>
  </w:abstractNum>
  <w:abstractNum w:abstractNumId="22"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rFonts w:ascii="Calibri" w:cs="Calibri" w:eastAsia="Calibri" w:hAnsi="Calibri"/>
      <w:b/>
      <w:bCs/>
      <w:color w:val="1F4E78"/>
      <w:sz w:val="40"/>
      <w:szCs w:val="40"/>
    </w:rPr>
  </w:style>
  <w:style w:type="paragraph" w:styleId="Heading1">
    <w:name w:val="Heading 1"/>
    <w:pPr>
      <w:spacing w:after="150" w:before="300"/>
    </w:pPr>
    <w:rPr>
      <w:rFonts w:ascii="Calibri" w:cs="Calibri" w:eastAsia="Calibri" w:hAnsi="Calibri"/>
      <w:b/>
      <w:bCs/>
      <w:color w:val="1F4E78"/>
      <w:sz w:val="28"/>
      <w:szCs w:val="28"/>
    </w:rPr>
  </w:style>
  <w:style w:type="paragraph" w:styleId="Heading2">
    <w:name w:val="Heading 2"/>
    <w:rPr>
      <w:rFonts w:ascii="Calibri" w:cs="Calibri" w:eastAsia="Calibri" w:hAnsi="Calibri"/>
      <w:b/>
      <w:bCs/>
      <w:color w:val="2E75B6"/>
      <w:sz w:val="24"/>
      <w:szCs w:val="24"/>
    </w:rPr>
  </w:style>
  <w:style w:type="paragraph" w:styleId="Heading3">
    <w:name w:val="Heading 3"/>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2026-09-15T04:28:19.119Z</dcterms:created>
  <dcterms:modified xsi:type="dcterms:W3CDTF">2026-09-15T04:28:19.119Z</dcterms:modified>
</cp:coreProperties>
</file>

<file path=docProps/custom.xml><?xml version="1.0" encoding="utf-8"?>
<Properties xmlns="http://schemas.openxmlformats.org/officeDocument/2006/custom-properties" xmlns:vt="http://schemas.openxmlformats.org/officeDocument/2006/docPropsVTypes"/>
</file>