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MANPOWER ASSUMPTIONS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Hospital 360 — HR Model &amp; Organisation Structure</w:t>
      </w:r>
    </w:p>
    <w:p>
      <w:pPr>
        <w:pBdr>
          <w:bottom w:val="single" w:color="1F4E78" w:sz="12" w:space="1"/>
        </w:pBdr>
        <w:spacing w:after="300"/>
      </w:pPr>
    </w:p>
    <w:p>
      <w:pPr>
        <w:spacing w:after="150"/>
        <w:jc w:val="both"/>
      </w:pPr>
      <w:r>
        <w:t xml:space="preserve">This document explains the logic behind the department-wise manpower model built in the 09_Manpower sheet of the Master Model, and summarises the resulting organisation structure.</w:t>
      </w:r>
    </w:p>
    <w:p>
      <w:pPr>
        <w:pStyle w:val="Heading1"/>
        <w:spacing w:after="150" w:before="300"/>
      </w:pPr>
      <w:r>
        <w:t xml:space="preserve">1. Staffing Philosophy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Manpower is planned in three stages — Launch, Stabilisation and Mature — mirroring the bed and service-line ramp-up defined in the Service Model and Capacity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clinical ratios follow standard Indian private-hospital norms: approximately 1:1 nurse-to-patient in ICU, 1:3 in HDU, and 1:5–6 in general wards per shift, with 3-shift rostering.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15% leave/training reserve is applied on top of core FTE for every function, to cover annual leave, sick leave, CME/training days and short-notice absence without compromising rostered care.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services (housekeeping, security, dietary, laundry, maintenance, ambulance) are budgeted at a level consistent with either in-house or outsourced/contract-managed delivery — the model does not presuppose which.</w:t>
      </w:r>
    </w:p>
    <w:p>
      <w:pPr>
        <w:pStyle w:val="Heading1"/>
        <w:spacing w:after="150" w:before="300"/>
      </w:pPr>
      <w:r>
        <w:t xml:space="preserve">2. Department-wise FTE Summary (Core, Excl. Reserve)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900"/>
        <w:gridCol w:w="1600"/>
      </w:tblGrid>
      <w:tr>
        <w:trPr>
          <w:tblHeader/>
        </w:trPr>
        <w:tc>
          <w:tcPr>
            <w:tcW w:type="dxa" w:w="3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7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Launch</w:t>
            </w:r>
          </w:p>
        </w:tc>
        <w:tc>
          <w:tcPr>
            <w:tcW w:type="dxa" w:w="19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Stabilisation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Mature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Medical (Consultants + Duty Doctors)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Nursing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Allied Health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(NABH Cell)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IT/MIS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Services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spacing w:after="150"/>
        <w:jc w:val="left"/>
      </w:pPr>
      <w:r>
        <w:t xml:space="preserve">Full role-level detail (e.g., ICU nurses vs. ward nurses, visiting vs. full-time consultants) is in the 09_Manpower sheet, along with the 15% reserve calculation and the resulting staff:bed ratio check.</w:t>
      </w:r>
    </w:p>
    <w:p>
      <w:pPr>
        <w:pStyle w:val="Heading1"/>
        <w:spacing w:after="150" w:before="300"/>
      </w:pPr>
      <w:r>
        <w:t xml:space="preserve">3. Organisation Structure (Narrative)</w:t>
      </w:r>
    </w:p>
    <w:p>
      <w:pPr>
        <w:spacing w:after="150"/>
        <w:jc w:val="both"/>
      </w:pPr>
      <w:r>
        <w:t xml:space="preserve">The hospital is led by a Medical Superintendent / CEO, with three direct functional heads: a Chief Medical Officer (clinical services and consultant management), a Director of Nursing (nursing services and clinical support), and a Chief Operating Officer (administration, finance, HR, IT/MIS and facility management). A Quality/NABH Cell reports directly to the CEO to preserve its independence in incident reporting and accreditation readiness. Department heads for each clinical speciality report to the CMO; ward and unit nursing supervisors report to the Director of Nursing.</w:t>
      </w:r>
    </w:p>
    <w:p>
      <w:pPr>
        <w:spacing w:after="150"/>
        <w:jc w:val="left"/>
      </w:pPr>
      <w:r>
        <w:t xml:space="preserve">This structure is designed to keep clinical governance, nursing governance and administrative/financial governance as three clearly separated but coordinated reporting lines — a structure commonly used in Indian private multispecialty hospitals of this scale.</w:t>
      </w:r>
    </w:p>
    <w:p>
      <w:pPr>
        <w:pStyle w:val="Heading1"/>
        <w:spacing w:after="150" w:before="300"/>
      </w:pPr>
      <w:r>
        <w:t xml:space="preserve">4. Key Retention Risk</w:t>
      </w:r>
    </w:p>
    <w:p>
      <w:pPr>
        <w:spacing w:after="150"/>
        <w:jc w:val="left"/>
      </w:pPr>
      <w:r>
        <w:t xml:space="preserve">Staff retention in a hill-state location is a known industry challenge, particularly for specialist consultants and senior nursing staff who have more metro-based alternatives. The manpower plan assumes a higher-than-metro attrition allowance is built into the annual staff-cost increment (see 02_Assumptions), and recommends — as an operational, not financial-model, action — proactive measures such as staff housing/accommodation support, a structured CME and career-progression pathway, and recruitment tie-ups with RPGMC Tanda and other regional medical/nursing colleges.</w:t>
      </w:r>
    </w:p>
    <w:p>
      <w:pPr>
        <w:pStyle w:val="Heading1"/>
        <w:spacing w:after="150" w:before="300"/>
      </w:pPr>
      <w:r>
        <w:t xml:space="preserve">5. Explicit Limitation</w:t>
      </w:r>
    </w:p>
    <w:p>
      <w:pPr>
        <w:spacing w:after="150"/>
        <w:jc w:val="both"/>
      </w:pPr>
      <w:r>
        <w:t xml:space="preserve">These are planning-stage FTE and ratio assumptions calibrated to industry norms, not a certified workforce plan. Actual staffing should be finalised against the hospital's confirmed service-line mix, applicable state nursing-council and medical-council staffing norms, and a formal job-architecture and compensation-benchmarking exercise.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Hospital 360 — Manpower Assumptions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4E78"/>
        <w:sz w:val="16"/>
        <w:szCs w:val="16"/>
      </w:rPr>
      <w:t xml:space="preserve">HOSPITAL 360</w:t>
    </w:r>
    <w:r>
      <w:t xml:space="preserve">	</w:t>
    </w:r>
    <w:r>
      <w:rPr>
        <w:color w:val="595959"/>
        <w:sz w:val="16"/>
        <w:szCs w:val="16"/>
      </w:rPr>
      <w:t xml:space="preserve">Manpower Assumptions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1F4E78"/>
      <w:sz w:val="40"/>
      <w:szCs w:val="4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2026-09-15T04:29:52.704Z</dcterms:created>
  <dcterms:modified xsi:type="dcterms:W3CDTF">2026-09-15T04:29:52.705Z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