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HIMACHAL PRADESH MARKET ANALYSIS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Hospital 360 — Market Opportunity &amp; Gap Analysis</w:t>
      </w:r>
    </w:p>
    <w:p>
      <w:pPr>
        <w:pBdr>
          <w:bottom w:val="single" w:color="1F4E78" w:sz="12" w:space="1"/>
        </w:pBdr>
        <w:spacing w:after="300"/>
      </w:pPr>
    </w:p>
    <w:p>
      <w:pPr>
        <w:spacing w:after="150"/>
        <w:jc w:val="both"/>
      </w:pPr>
      <w:r>
        <w:t xml:space="preserve">This analysis quantifies the demand-side and supply-side picture for a 100-bed private multispecialty hospital in the Kangra–Palampur corridor. Every figure below carries an explicit tag — Actual Public Data, Benchmark, Assumption, or Calculated Value — consistent with the Source Register and the 03_Himachal_Market_Data sheet of the Master Model.</w:t>
      </w:r>
    </w:p>
    <w:p>
      <w:pPr>
        <w:pStyle w:val="Heading1"/>
        <w:spacing w:after="150" w:before="300"/>
      </w:pPr>
      <w:r>
        <w:t xml:space="preserve">1. Demographic Base</w:t>
      </w:r>
    </w:p>
    <w:p>
      <w:pPr>
        <w:spacing w:after="150"/>
      </w:pPr>
      <w:r>
        <w:t xml:space="preserve">Himachal Pradesh's total population stood at 68,64,602 as per the 2011 Census.</w:t>
      </w:r>
      <w:r>
        <w:rPr>
          <w:b/>
          <w:bCs/>
          <w:color w:val="375623"/>
          <w:sz w:val="16"/>
          <w:szCs w:val="16"/>
        </w:rPr>
        <w:t xml:space="preserve"> [Actual Public Data] </w:t>
      </w:r>
    </w:p>
    <w:p>
      <w:pPr>
        <w:spacing w:after="150"/>
      </w:pPr>
      <w:r>
        <w:t xml:space="preserve">Kangra district — the most populous district in the state — recorded a population of 15,10,075 at a density of 263 persons per km², with a decadal growth rate of 12.77% (2001–2011).</w:t>
      </w:r>
      <w:r>
        <w:rPr>
          <w:b/>
          <w:bCs/>
          <w:color w:val="375623"/>
          <w:sz w:val="16"/>
          <w:szCs w:val="16"/>
        </w:rPr>
        <w:t xml:space="preserve"> [Actual Public Data] </w:t>
      </w:r>
    </w:p>
    <w:p>
      <w:pPr>
        <w:spacing w:after="150"/>
      </w:pPr>
      <w:r>
        <w:t xml:space="preserve">The core catchment for Hospital 360 — the Kangra, Palampur, Dharamshala, Baijnath and Nagrota Bagwan tehsils — sums to approximately 5.86 lakh people based on 2011 tehsil-level Census data.</w:t>
      </w:r>
      <w:r>
        <w:rPr>
          <w:b/>
          <w:bCs/>
          <w:color w:val="1F4E78"/>
          <w:sz w:val="16"/>
          <w:szCs w:val="16"/>
        </w:rPr>
        <w:t xml:space="preserve"> [Calculated Value] </w:t>
      </w:r>
    </w:p>
    <w:p>
      <w:pPr>
        <w:spacing w:after="150"/>
      </w:pPr>
      <w:r>
        <w:t xml:space="preserve">Since no full 2021 Census was conducted, the 2026 catchment population is extrapolated from the 2001–2011 compound annual growth rate (~1.3% p.a.), a necessary but explicitly flagged simplification.</w:t>
      </w:r>
      <w:r>
        <w:rPr>
          <w:b/>
          <w:bCs/>
          <w:color w:val="833C00"/>
          <w:sz w:val="16"/>
          <w:szCs w:val="16"/>
        </w:rPr>
        <w:t xml:space="preserve"> [Assumption] </w:t>
      </w:r>
    </w:p>
    <w:p>
      <w:pPr>
        <w:spacing w:after="150"/>
        <w:jc w:val="left"/>
      </w:pPr>
      <w:r>
        <w:t xml:space="preserve">A wider secondary/referral catchment of roughly 22 lakh people (adjoining districts and referral-in potential) is used only as a directional upper bound for referral-level draw, not as a primary-catchment planning figure.</w:t>
      </w:r>
    </w:p>
    <w:p>
      <w:pPr>
        <w:pStyle w:val="Heading1"/>
        <w:spacing w:after="150" w:before="300"/>
      </w:pPr>
      <w:r>
        <w:t xml:space="preserve">2. Existing Healthcare Infrastructure in the Corridor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800"/>
        <w:gridCol w:w="1900"/>
      </w:tblGrid>
      <w:tr>
        <w:trPr>
          <w:tblHeader/>
        </w:trPr>
        <w:tc>
          <w:tcPr>
            <w:tcW w:type="dxa" w:w="32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Facility</w:t>
            </w:r>
          </w:p>
        </w:tc>
        <w:tc>
          <w:tcPr>
            <w:tcW w:type="dxa" w:w="16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Approx. Beds</w:t>
            </w:r>
          </w:p>
        </w:tc>
        <w:tc>
          <w:tcPr>
            <w:tcW w:type="dxa" w:w="28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RPGMC, Tanda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950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Govt. tertiary teaching hospital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 Public Data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Zonal Hospital, Dharamshala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Govt. secondary care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Benchmark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Civil Hospital, Palampur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Govt. secondary care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Benchmark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Fortis Hospital, Kangra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Private secondary/tertiary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 Public Data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 private nursing homes (aggregate)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Private — small format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Assumption</w:t>
            </w:r>
          </w:p>
        </w:tc>
      </w:tr>
    </w:tbl>
    <w:p>
      <w:pPr>
        <w:spacing w:after="150"/>
        <w:jc w:val="left"/>
      </w:pPr>
      <w:r>
        <w:t xml:space="preserve"/>
      </w:r>
    </w:p>
    <w:p>
      <w:pPr>
        <w:spacing w:after="150"/>
        <w:jc w:val="both"/>
      </w:pPr>
      <w:r>
        <w:t xml:space="preserve">The corridor is anchored by one very large public tertiary teaching hospital, a handful of smaller public secondary-care facilities, and a private sector that remains concentrated around a single established multispecialty player. This is not a healthcare desert, but it is a market where organised, NABH-oriented private multispecialty capacity is thin relative to the scale of RPGMC Tanda.</w:t>
      </w:r>
    </w:p>
    <w:p>
      <w:pPr>
        <w:pStyle w:val="Heading1"/>
        <w:spacing w:after="150" w:before="300"/>
      </w:pPr>
      <w:r>
        <w:t xml:space="preserve">3. Market Gap Indicators</w:t>
      </w:r>
    </w:p>
    <w:p>
      <w:pPr>
        <w:spacing w:after="150"/>
      </w:pPr>
      <w:r>
        <w:t xml:space="preserve">Combining the corridor's public and private bed base against the core catchment population yields an implied bed density considerably below the commonly cited international planning benchmark of ~3 beds per 1,000 population.</w:t>
      </w:r>
      <w:r>
        <w:rPr>
          <w:b/>
          <w:bCs/>
          <w:color w:val="1F4E78"/>
          <w:sz w:val="16"/>
          <w:szCs w:val="16"/>
        </w:rPr>
        <w:t xml:space="preserve"> [Calculated Value] </w:t>
      </w:r>
    </w:p>
    <w:p>
      <w:pPr>
        <w:spacing w:after="150"/>
        <w:jc w:val="left"/>
      </w:pPr>
      <w:r>
        <w:t xml:space="preserve">This directional gap should be read cautiously: RPGMC Tanda's scale means aggregate bed density understates the acuity-mix and comfort-tier gap that a private multispecialty hospital would actually be addressing — patients seeking shorter wait times, private rooms, and a mid-market alternative to both the public system and out-of-state premium hospitals.</w:t>
      </w:r>
    </w:p>
    <w:p>
      <w:pPr>
        <w:pStyle w:val="Heading1"/>
        <w:spacing w:after="150" w:before="300"/>
      </w:pPr>
      <w:r>
        <w:t xml:space="preserve">4. Demand Drivers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Resident population growth in the Kangra–Palampur corridor, sustaining organic demand for OPD, maternity, paediatric and general surgical care.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substantial tourist and floating population around Dharamshala–McLeodganj, which increases demand for emergency, trauma and wellness-linked services beyond what resident population alone would generate.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visible "referral leakage" pattern — patients travelling to Chandigarh or Delhi for tertiary/quaternary procedures — which a locally accessible, quality-assured multispecialty hospital could partially intercept for mid-complexity tertiary cases.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Rising insurance and government-scheme penetration (Ayushman Bharat, HP state schemes, CGHS/ECHS) improving the addressable, paying patient base for a private facility.</w:t>
      </w:r>
    </w:p>
    <w:p>
      <w:pPr>
        <w:pStyle w:val="Heading1"/>
        <w:spacing w:after="150" w:before="300"/>
      </w:pPr>
      <w:r>
        <w:t xml:space="preserve">5. Risks &amp; Caveats to the Market Read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2021 Census exists; all forward population projections are Assumption-level extrapolations, not certified demographic forecasts.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Bed-density benchmarks (e.g., ~3 beds/1,000) are general international planning references, not India- or Himachal-specific regulatory norms.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analysis does not constitute a formal market-research study (no primary patient surveys, no willingness-to-pay research) and should be supplemented with such research before capital is committed.</w:t>
      </w:r>
    </w:p>
    <w:p>
      <w:pPr>
        <w:pStyle w:val="Heading1"/>
        <w:spacing w:after="150" w:before="300"/>
      </w:pPr>
      <w:r>
        <w:t xml:space="preserve">6. Conclusion</w:t>
      </w:r>
    </w:p>
    <w:p>
      <w:pPr>
        <w:spacing w:after="150"/>
        <w:jc w:val="both"/>
      </w:pPr>
      <w:r>
        <w:t xml:space="preserve">The Kangra–Palampur corridor shows a plausible, evidence-supported case for incremental private multispecialty capacity: a sizeable and growing resident catchment, a tourism-driven floating population, visible referral leakage to out-of-state hospitals, and a private sector currently concentrated around one major player. The opportunity is real enough to justify proceeding to location feasibility and financial modelling — but it is not, on this desk-research alone, a certified market-entry decision.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Hospital 360 — HP Market Analysis</w:t>
    </w:r>
    <w:r>
      <w:t xml:space="preserve">	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color w:val="1F4E78"/>
        <w:sz w:val="16"/>
        <w:szCs w:val="16"/>
      </w:rPr>
      <w:t xml:space="preserve">HOSPITAL 360</w:t>
    </w:r>
    <w:r>
      <w:t xml:space="preserve">	</w:t>
    </w:r>
    <w:r>
      <w:rPr>
        <w:color w:val="595959"/>
        <w:sz w:val="16"/>
        <w:szCs w:val="16"/>
      </w:rPr>
      <w:t xml:space="preserve">HP Market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rFonts w:ascii="Calibri" w:cs="Calibri" w:eastAsia="Calibri" w:hAnsi="Calibri"/>
      <w:b/>
      <w:bCs/>
      <w:color w:val="1F4E78"/>
      <w:sz w:val="40"/>
      <w:szCs w:val="40"/>
    </w:rPr>
  </w:style>
  <w:style w:type="paragraph" w:styleId="Heading1">
    <w:name w:val="Heading 1"/>
    <w:pPr>
      <w:spacing w:after="150" w:before="300"/>
    </w:pPr>
    <w:rPr>
      <w:rFonts w:ascii="Calibri" w:cs="Calibri" w:eastAsia="Calibri" w:hAnsi="Calibri"/>
      <w:b/>
      <w:bCs/>
      <w:color w:val="1F4E78"/>
      <w:sz w:val="28"/>
      <w:szCs w:val="28"/>
    </w:rPr>
  </w:style>
  <w:style w:type="paragraph" w:styleId="Heading2">
    <w:name w:val="Heading 2"/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3">
    <w:name w:val="Heading 3"/>
    <w:rPr>
      <w:rFonts w:ascii="Calibri" w:cs="Calibri" w:eastAsia="Calibri" w:hAnsi="Calibri"/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2026-09-15T04:28:48.247Z</dcterms:created>
  <dcterms:modified xsi:type="dcterms:W3CDTF">2026-09-15T04:28:48.247Z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