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HOSPITAL 360 — OPERATIONS SOP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Patient Flow, Process Framework &amp; KPI Catalogue</w:t>
      </w:r>
    </w:p>
    <w:p>
      <w:pPr>
        <w:pBdr>
          <w:bottom w:val="single" w:color="1F4E78" w:sz="12" w:space="1"/>
        </w:pBdr>
        <w:spacing w:after="300"/>
      </w:pPr>
    </w:p>
    <w:p>
      <w:pPr>
        <w:spacing w:after="150"/>
        <w:jc w:val="both"/>
      </w:pPr>
      <w:r>
        <w:t xml:space="preserve">This document defines the operational blueprint for Hospital 360 — how a patient moves through the hospital, the core standard operating procedures (SOPs) governing each stage, and the KPI catalogue used to monitor performance.</w:t>
      </w:r>
    </w:p>
    <w:p>
      <w:pPr>
        <w:pStyle w:val="Heading1"/>
        <w:spacing w:after="150" w:before="300"/>
      </w:pPr>
      <w:r>
        <w:t xml:space="preserve">1. OPD-to-Discharge Patient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Registration &amp; Triage — Patient registers at the front desk or via online appointment; a triage nurse records vitals and urgency.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OPD Consultation — The consultant evaluates the patient and orders diagnostics if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Diagnostics — Lab and/or imaging is performed; results route to the consultant via the Hospital Information System (HIS).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Clinical Decision — The consultant reviews results and decides: discharge with prescription, scheduled follow-up, or admission.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Admission (if required) — Bed allotment via the HIS bed-management module, with pre-admission counselling and a billing estimate.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IPD Care — Ward/ICU care with nursing rounds, consultant rounds, and daily progress notes recorded in the EMR.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Discharge Planning — Discharge summary, medication reconciliation, follow-up appointment, and billing settlement.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Post-Discharge Follow-up — A tele-follow-up call or OPD review appointment, plus a patient-satisfaction (CSAT) survey.</w:t>
      </w:r>
    </w:p>
    <w:p>
      <w:pPr>
        <w:pStyle w:val="Heading1"/>
        <w:spacing w:after="150" w:before="300"/>
      </w:pPr>
      <w:r>
        <w:t xml:space="preserve">2. Emergency Pathway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Arrival &amp; Triage — Colour-coded triage (Red/Yellow/Green) within 5 minutes of arrival.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Resuscitation/Stabilisation — Immediate stabilisation for Red-category patients.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Clinical Assessment — Duty-doctor assessment with diagnostics ordered on a priority basis.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Disposition Decision — Discharge, ICU admission, ward admission, or a documented, coordinated transfer-out if beyond the facility's capability.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Admission/Transfer — Bed allotment or transfer with full documentation handed to the receiving centre.</w:t>
      </w:r>
    </w:p>
    <w:p>
      <w:pPr>
        <w:pStyle w:val="Heading1"/>
        <w:spacing w:after="150" w:before="300"/>
      </w:pPr>
      <w:r>
        <w:t xml:space="preserve">3. Core Support-Process SOPs</w:t>
      </w:r>
    </w:p>
    <w:p>
      <w:pPr>
        <w:pStyle w:val="Heading2"/>
        <w:spacing w:after="100" w:before="200"/>
      </w:pPr>
      <w:r>
        <w:t xml:space="preserve">Bed Management</w:t>
      </w:r>
    </w:p>
    <w:p>
      <w:pPr>
        <w:spacing w:after="150"/>
        <w:jc w:val="left"/>
      </w:pPr>
      <w:r>
        <w:t xml:space="preserve">Real-time bed status (vacant/occupied/being cleaned/blocked) is maintained in the HIS bed-management module. A designated bed-management coordinator reconciles physical bed status with the system at each shift change to prevent admission delays.</w:t>
      </w:r>
    </w:p>
    <w:p>
      <w:pPr>
        <w:pStyle w:val="Heading2"/>
        <w:spacing w:after="100" w:before="200"/>
      </w:pPr>
      <w:r>
        <w:t xml:space="preserve">OT Scheduling</w:t>
      </w:r>
    </w:p>
    <w:p>
      <w:pPr>
        <w:spacing w:after="150"/>
        <w:jc w:val="left"/>
      </w:pPr>
      <w:r>
        <w:t xml:space="preserve">A weekly OT slate is finalised by the OT in-charge in coordination with surgeons and anaesthesia; emergency OT slots are reserved and protected from elective bookings. A pre-operative checklist (WHO Surgical Safety Checklist format) is mandatory for every case.</w:t>
      </w:r>
    </w:p>
    <w:p>
      <w:pPr>
        <w:pStyle w:val="Heading2"/>
        <w:spacing w:after="100" w:before="200"/>
      </w:pPr>
      <w:r>
        <w:t xml:space="preserve">Diagnostics &amp; Reporting TAT</w:t>
      </w:r>
    </w:p>
    <w:p>
      <w:pPr>
        <w:spacing w:after="150"/>
        <w:jc w:val="left"/>
      </w:pPr>
      <w:r>
        <w:t xml:space="preserve">Routine lab results target a turnaround time (TAT) of under 4 hours; STAT/emergency lab orders target under 1 hour. Imaging reports are targeted for same-shift reporting except for complex studies requiring sub-specialist review.</w:t>
      </w:r>
    </w:p>
    <w:p>
      <w:pPr>
        <w:pStyle w:val="Heading2"/>
        <w:spacing w:after="100" w:before="200"/>
      </w:pPr>
      <w:r>
        <w:t xml:space="preserve">Pharmacy &amp; Inventory</w:t>
      </w:r>
    </w:p>
    <w:p>
      <w:pPr>
        <w:spacing w:after="150"/>
        <w:jc w:val="left"/>
      </w:pPr>
      <w:r>
        <w:t xml:space="preserve">A closed-loop medication system (prescription → pharmacy verification → dispensing → administration documentation in EMR) reduces medication-error risk. Inventory follows a min-max reorder model with a dedicated cold-chain protocol for temperature-sensitive drugs.</w:t>
      </w:r>
    </w:p>
    <w:p>
      <w:pPr>
        <w:pStyle w:val="Heading2"/>
        <w:spacing w:after="100" w:before="200"/>
      </w:pPr>
      <w:r>
        <w:t xml:space="preserve">CSSD (Central Sterile Supply)</w:t>
      </w:r>
    </w:p>
    <w:p>
      <w:pPr>
        <w:spacing w:after="150"/>
        <w:jc w:val="left"/>
      </w:pPr>
      <w:r>
        <w:t xml:space="preserve">All reusable surgical instruments follow a tracked decontamination → packing → sterilisation (autoclave/ETO) → distribution cycle, with batch-level sterilisation-indicator documentation retained for audit.</w:t>
      </w:r>
    </w:p>
    <w:p>
      <w:pPr>
        <w:pStyle w:val="Heading2"/>
        <w:spacing w:after="100" w:before="200"/>
      </w:pPr>
      <w:r>
        <w:t xml:space="preserve">Daily Operational Huddle</w:t>
      </w:r>
    </w:p>
    <w:p>
      <w:pPr>
        <w:spacing w:after="150"/>
        <w:jc w:val="left"/>
      </w:pPr>
      <w:r>
        <w:t xml:space="preserve">A short daily cross-functional huddle (bed occupancy, OT slate, critical patients, staffing gaps, safety incidents from the prior 24 hours) is held each morning, chaired by the Hospital Administrator/COO with department representatives.</w:t>
      </w:r>
    </w:p>
    <w:p>
      <w:pPr>
        <w:pStyle w:val="Heading1"/>
        <w:spacing w:after="150" w:before="300"/>
      </w:pPr>
      <w:r>
        <w:t xml:space="preserve">4. Operational KPI Catalogue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00"/>
        <w:gridCol w:w="2000"/>
      </w:tblGrid>
      <w:tr>
        <w:trPr>
          <w:tblHeader/>
        </w:trPr>
        <w:tc>
          <w:tcPr>
            <w:tcW w:type="dxa" w:w="27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8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 / Definition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Band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Occupancy Rate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Occupied bed-days ÷ Available bed-days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55%–70% (mature)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Length of Stay (ALOS)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patient-days ÷ Total discharges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3.5–4.5 days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Bed Turnover Ratio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 ÷ ALOS × Occupancy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45–60 times/bed/yr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OPD→IPD Conversion Ratio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Admissions ÷ OPD footfall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6%–10%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 Utilisation Rate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OT hours used ÷ Available OT hours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60%–75%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 Turnaround Time (median)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from ER arrival to disposition decision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1.5–3 hours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Satisfaction (CSAT)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Survey-based composite score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80%–90%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 Attrition Rate (clinical, annual)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Clinical exits ÷ Average clinical headcount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10%–18% (hill-state)</w:t>
            </w:r>
          </w:p>
        </w:tc>
      </w:tr>
    </w:tbl>
    <w:p>
      <w:pPr>
        <w:spacing w:after="150"/>
        <w:jc w:val="left"/>
      </w:pPr>
      <w:r>
        <w:t xml:space="preserve"/>
      </w:r>
    </w:p>
    <w:p>
      <w:pPr>
        <w:spacing w:after="150"/>
        <w:jc w:val="left"/>
      </w:pPr>
      <w:r>
        <w:t xml:space="preserve">These KPIs are tracked monthly through the analytics layer described in the accompanying Analytics &amp; Power BI Dashboard documentation, following a Data → KPI → Insight → Decision → Action → Improvement cycle.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Hospital 360 — Operations SOP</w:t>
    </w:r>
    <w: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F4E78"/>
        <w:sz w:val="16"/>
        <w:szCs w:val="16"/>
      </w:rPr>
      <w:t xml:space="preserve">HOSPITAL 360</w:t>
    </w:r>
    <w:r>
      <w:t xml:space="preserve">	</w:t>
    </w:r>
    <w:r>
      <w:rPr>
        <w:color w:val="595959"/>
        <w:sz w:val="16"/>
        <w:szCs w:val="16"/>
      </w:rPr>
      <w:t xml:space="preserve">Operations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rFonts w:ascii="Calibri" w:cs="Calibri" w:eastAsia="Calibri" w:hAnsi="Calibri"/>
      <w:b/>
      <w:bCs/>
      <w:color w:val="1F4E78"/>
      <w:sz w:val="40"/>
      <w:szCs w:val="40"/>
    </w:rPr>
  </w:style>
  <w:style w:type="paragraph" w:styleId="Heading1">
    <w:name w:val="Heading 1"/>
    <w:pPr>
      <w:spacing w:after="150" w:before="30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2026-09-15T04:30:17.984Z</dcterms:created>
  <dcterms:modified xsi:type="dcterms:W3CDTF">2026-09-15T04:30:17.984Z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