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HOSPITAL 360 — SERVICE MODEL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Business Model Canvas &amp; Phased Service Portfolio</w:t>
      </w:r>
    </w:p>
    <w:p>
      <w:pPr>
        <w:pBdr>
          <w:bottom w:val="single" w:color="1F4E78" w:sz="12" w:space="1"/>
        </w:pBdr>
        <w:spacing w:after="300"/>
      </w:pPr>
    </w:p>
    <w:p>
      <w:pPr>
        <w:spacing w:after="150"/>
        <w:jc w:val="both"/>
      </w:pPr>
      <w:r>
        <w:t xml:space="preserve">This document defines the business model and phased service portfolio for the proposed 100-bed regional multispecialty hospital, using the Business Model Canvas framework.</w:t>
      </w:r>
    </w:p>
    <w:p>
      <w:pPr>
        <w:pStyle w:val="Heading1"/>
        <w:spacing w:after="150" w:before="300"/>
      </w:pPr>
      <w:r>
        <w:t xml:space="preserve">1. Business Model Canvas</w:t>
      </w:r>
    </w:p>
    <w:p>
      <w:pPr>
        <w:pStyle w:val="Heading2"/>
        <w:spacing w:after="100" w:before="200"/>
      </w:pPr>
      <w:r>
        <w:t xml:space="preserve">Value Proposition</w:t>
      </w:r>
    </w:p>
    <w:p>
      <w:pPr>
        <w:spacing w:after="150"/>
        <w:jc w:val="left"/>
      </w:pPr>
      <w:r>
        <w:t xml:space="preserve">Trusted, accessible, NABH-oriented multispecialty tertiary care for the Kangra–Palampur corridor — reducing the need for patients to travel to Chandigarh or Delhi for advanced treatment, while offering Dharamshala's tourism and floating population a dependable emergency and wellness option.</w:t>
      </w:r>
    </w:p>
    <w:p>
      <w:pPr>
        <w:pStyle w:val="Heading2"/>
        <w:spacing w:after="100" w:before="200"/>
      </w:pPr>
      <w:r>
        <w:t xml:space="preserve">Customer Segments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Resident catchment population (~5.9 lakh core, ~22 lakh secondary)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Domestic and international tourists visiting Dharamshala–McLeodganj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Referral patients from smaller nursing homes and PHCs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Government and insurance-scheme beneficiaries (Ayushman Bharat, HP state schemes, CGHS/ECHS)</w:t>
      </w:r>
    </w:p>
    <w:p>
      <w:pPr>
        <w:pStyle w:val="Heading2"/>
        <w:spacing w:after="100" w:before="200"/>
      </w:pPr>
      <w:r>
        <w:t xml:space="preserve">Channels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walk-in OPD and a referral network with peripheral hospitals/PHCs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Empanelment with insurers, TPAs and government schemes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 presence — website, teleconsultation, appointment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 and institutional health-checkup tie-ups; hotel/tour-operator wellness tie-ups</w:t>
      </w:r>
    </w:p>
    <w:p>
      <w:pPr>
        <w:pStyle w:val="Heading2"/>
        <w:spacing w:after="100" w:before="200"/>
      </w:pPr>
      <w:r>
        <w:t xml:space="preserve">Customer Relationships</w:t>
      </w:r>
    </w:p>
    <w:p>
      <w:pPr>
        <w:spacing w:after="150"/>
        <w:jc w:val="left"/>
      </w:pPr>
      <w:r>
        <w:t xml:space="preserve">Personalised consultant-led care teams; a dedicated patient-relationship desk for out-station and tourist patients; structured post-discharge follow-up and teleconsultation; and a loyalty/health-card programme for repeat local families.</w:t>
      </w:r>
    </w:p>
    <w:p>
      <w:pPr>
        <w:pStyle w:val="Heading2"/>
        <w:spacing w:after="100" w:before="200"/>
      </w:pPr>
      <w:r>
        <w:t xml:space="preserve">Revenue Streams</w:t>
      </w:r>
    </w:p>
    <w:p>
      <w:pPr>
        <w:spacing w:after="150"/>
        <w:jc w:val="left"/>
      </w:pPr>
      <w:r>
        <w:t xml:space="preserve">IPD (bed charges, OT, ICU) forms the majority of revenue (~62%), with OPD consultations, diagnostics and pharmacy making up the balance (~38%). The full annual and 10-year build-up is in the 12_Revenue sheet of the Master Model.</w:t>
      </w:r>
    </w:p>
    <w:p>
      <w:pPr>
        <w:pStyle w:val="Heading2"/>
        <w:spacing w:after="100" w:before="200"/>
      </w:pPr>
      <w:r>
        <w:t xml:space="preserve">Key Resources</w:t>
      </w:r>
    </w:p>
    <w:p>
      <w:pPr>
        <w:spacing w:after="150"/>
        <w:jc w:val="left"/>
      </w:pPr>
      <w:r>
        <w:t xml:space="preserve">Clinical talent (consultants, nursing, allied health); the 100-bed licensed physical infrastructure; diagnostic and OT equipment; NABH-oriented quality systems; the HIS/EMR and analytics layer; and brand/referral relationships built over time.</w:t>
      </w:r>
    </w:p>
    <w:p>
      <w:pPr>
        <w:pStyle w:val="Heading2"/>
        <w:spacing w:after="100" w:before="200"/>
      </w:pPr>
      <w:r>
        <w:t xml:space="preserve">Key Activities</w:t>
      </w:r>
    </w:p>
    <w:p>
      <w:pPr>
        <w:spacing w:after="150"/>
        <w:jc w:val="left"/>
      </w:pPr>
      <w:r>
        <w:t xml:space="preserve">Clinical service delivery across OPD/IPD/Emergency/OT; quality and accreditation management; manpower development; demand generation and referral management; digital health records and analytics; and community health outreach.</w:t>
      </w:r>
    </w:p>
    <w:p>
      <w:pPr>
        <w:pStyle w:val="Heading2"/>
        <w:spacing w:after="100" w:before="200"/>
      </w:pPr>
      <w:r>
        <w:t xml:space="preserve">Key Partners</w:t>
      </w:r>
    </w:p>
    <w:p>
      <w:pPr>
        <w:spacing w:after="150"/>
        <w:jc w:val="left"/>
      </w:pPr>
      <w:r>
        <w:t xml:space="preserve">RPGMC Tanda and academic institutions (training/referral linkages); insurers and TPAs; government health schemes; diagnostic and pharma-equipment OEMs; ambulance and logistics partners; and the local hospitality sector for tourism-linked wellness tie-ups.</w:t>
      </w:r>
    </w:p>
    <w:p>
      <w:pPr>
        <w:pStyle w:val="Heading2"/>
        <w:spacing w:after="100" w:before="200"/>
      </w:pPr>
      <w:r>
        <w:t xml:space="preserve">Cost Structure</w:t>
      </w:r>
    </w:p>
    <w:p>
      <w:pPr>
        <w:spacing w:after="150"/>
        <w:jc w:val="left"/>
      </w:pPr>
      <w:r>
        <w:t xml:space="preserve">Manpower is the largest single cost line (roughly 40% of OPEX at maturity), followed by consumables/pharmacy, equipment maintenance and depreciation, utilities and facility management, marketing/referral development, and quality/accreditation costs. Full detail is in the 11_OPEX sheet.</w:t>
      </w:r>
    </w:p>
    <w:p>
      <w:pPr>
        <w:pStyle w:val="Heading1"/>
        <w:spacing w:after="150" w:before="300"/>
      </w:pPr>
      <w:r>
        <w:t xml:space="preserve">2. Phased Service Portfolio</w:t>
      </w:r>
    </w:p>
    <w:p>
      <w:pPr>
        <w:pStyle w:val="Heading2"/>
        <w:spacing w:after="100" w:before="200"/>
      </w:pPr>
      <w:r>
        <w:t xml:space="preserve">Phase 1 — Launch (75–80 beds)</w:t>
      </w:r>
    </w:p>
    <w:p>
      <w:pPr>
        <w:spacing w:after="150"/>
        <w:jc w:val="left"/>
      </w:pPr>
      <w:r>
        <w:t xml:space="preserve">General Medicine, General Surgery, Obstetrics &amp; Gynaecology, Paediatrics, Orthopaedics, Emergency &amp; Trauma, ICU/HDU, Anaesthesia, Radiology (X-ray/USG/CT), Laboratory, Pharmacy, and Physiotherapy.</w:t>
      </w:r>
    </w:p>
    <w:p>
      <w:pPr>
        <w:pStyle w:val="Heading2"/>
        <w:spacing w:after="100" w:before="200"/>
      </w:pPr>
      <w:r>
        <w:t xml:space="preserve">Phase 2 — Stabilisation (Year 2–3, scaling to ~90 beds)</w:t>
      </w:r>
    </w:p>
    <w:p>
      <w:pPr>
        <w:spacing w:after="150"/>
        <w:jc w:val="left"/>
      </w:pPr>
      <w:r>
        <w:t xml:space="preserve">Cardiology &amp; Cath Lab, Nephrology &amp; Dialysis, Gastroenterology, Urology, ENT, Ophthalmology, Oncology OPD/Day-care Chemotherapy, and Advanced Imaging (MRI).</w:t>
      </w:r>
    </w:p>
    <w:p>
      <w:pPr>
        <w:pStyle w:val="Heading2"/>
        <w:spacing w:after="100" w:before="200"/>
      </w:pPr>
      <w:r>
        <w:t xml:space="preserve">Phase 3 — Demand-driven (Year 4–5, 100 beds)</w:t>
      </w:r>
    </w:p>
    <w:p>
      <w:pPr>
        <w:spacing w:after="150"/>
        <w:jc w:val="left"/>
      </w:pPr>
      <w:r>
        <w:t xml:space="preserve">Neurology/Neurosurgery, Cardiac Surgery (subject to a dedicated demand study), Renal Transplant work-up, Advanced Oncology, Fertility/IVF, and an Executive Health &amp; Wellness Centre linked to the tourism corridor.</w:t>
      </w:r>
    </w:p>
    <w:p>
      <w:pPr>
        <w:pStyle w:val="Heading1"/>
        <w:spacing w:after="150" w:before="300"/>
      </w:pPr>
      <w:r>
        <w:t xml:space="preserve">3. Strategic Positioning</w:t>
      </w:r>
    </w:p>
    <w:p>
      <w:pPr>
        <w:spacing w:after="150"/>
        <w:jc w:val="both"/>
      </w:pPr>
      <w:r>
        <w:t xml:space="preserve">Hospital 360 is positioned as the mid-market bridge between the high-volume, budget-priced public system (RPGMC Tanda) and the premium, out-of-state tertiary/quaternary hospitals (Chandigarh/Delhi) that many corridor residents currently travel to. Its differentiation rests on three pillars: local accessibility for mid-complexity tertiary care, an NABH-oriented quality and patient-experience standard, and a tourism-linked wellness offering that neither the public system nor distant premium hospitals can practically serve.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Hospital 360 — Service Model</w:t>
    </w:r>
    <w:r>
      <w:t xml:space="preserve">	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F4E78"/>
        <w:sz w:val="16"/>
        <w:szCs w:val="16"/>
      </w:rPr>
      <w:t xml:space="preserve">HOSPITAL 360</w:t>
    </w:r>
    <w:r>
      <w:t xml:space="preserve">	</w:t>
    </w:r>
    <w:r>
      <w:rPr>
        <w:color w:val="595959"/>
        <w:sz w:val="16"/>
        <w:szCs w:val="16"/>
      </w:rPr>
      <w:t xml:space="preserve">Service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rFonts w:ascii="Calibri" w:cs="Calibri" w:eastAsia="Calibri" w:hAnsi="Calibri"/>
      <w:b/>
      <w:bCs/>
      <w:color w:val="1F4E78"/>
      <w:sz w:val="40"/>
      <w:szCs w:val="40"/>
    </w:rPr>
  </w:style>
  <w:style w:type="paragraph" w:styleId="Heading1">
    <w:name w:val="Heading 1"/>
    <w:pPr>
      <w:spacing w:after="150" w:before="300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2">
    <w:name w:val="Heading 2"/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2026-09-15T04:29:30.660Z</dcterms:created>
  <dcterms:modified xsi:type="dcterms:W3CDTF">2026-09-15T04:29:30.660Z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