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QUALITY FRAMEWORK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Hospital 360 — NABH-Oriented Quality &amp; Accreditation Roadmap</w:t>
      </w:r>
    </w:p>
    <w:p>
      <w:pPr>
        <w:pBdr>
          <w:bottom w:val="single" w:color="1F4E78" w:sz="12" w:space="1"/>
        </w:pBdr>
        <w:spacing w:after="300"/>
      </w:pPr>
    </w:p>
    <w:p>
      <w:pPr>
        <w:spacing w:after="150"/>
        <w:jc w:val="both"/>
      </w:pPr>
      <w:r>
        <w:t xml:space="preserve">This document sets out Hospital 360's quality framework, built around the National Accreditation Board for Hospitals &amp; Healthcare Providers (NABH) 10-chapter structure. Accreditation is treated throughout as a target the hospital works towards, not a guarantee — actual NABH certification requires a formal assessment by NABH assessors that is outside the scope of this academic model.</w:t>
      </w:r>
    </w:p>
    <w:p>
      <w:pPr>
        <w:pStyle w:val="Heading1"/>
        <w:spacing w:after="150" w:before="300"/>
      </w:pPr>
      <w:r>
        <w:t xml:space="preserve">1. NABH Chapter Readiness Tracker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5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5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25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Readiness by Launch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AAC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Access, Assessment &amp; Continuity of Care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Care of Patients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of Medication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Rights &amp; Education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HIC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Hospital Infection Control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PSQ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Safety &amp; Quality Improvement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Responsibilities of Management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FMS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Facility Management &amp; Safety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HRM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Resource Management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IMS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Management System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50"/>
        <w:jc w:val="left"/>
      </w:pPr>
      <w:r>
        <w:t xml:space="preserve"/>
      </w:r>
    </w:p>
    <w:p>
      <w:pPr>
        <w:pStyle w:val="Heading1"/>
        <w:spacing w:after="150" w:before="300"/>
      </w:pPr>
      <w:r>
        <w:t xml:space="preserve">2. Quality Governance Structure</w:t>
      </w:r>
    </w:p>
    <w:p>
      <w:pPr>
        <w:spacing w:after="150"/>
        <w:jc w:val="both"/>
      </w:pPr>
      <w:r>
        <w:t xml:space="preserve">A Quality Assurance Committee, chaired by the Medical Superintendent/CEO with the Quality Manager as convenor, meets monthly and includes representation from Nursing, Infection Control, Pharmacy, and at least two clinical department heads on a rotating basis. It reports quality indicators and incident trends to hospital leadership and, where applicable, to the Governing 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Infection Control Committee — hand-hygiene audits, surveillance of hospital-acquired infections, biomedical-waste management oversight.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Pharmacy &amp; Therapeutics Committee — drug formulary management, high-alert medication protocols, adverse-drug-reaction monitoring.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Safety &amp; Incident Review Committee — reviews all reported incidents and near-misses, oversees Root Cause Analysis (RCA) and Corrective and Preventive Action (CAPA).</w:t>
      </w:r>
    </w:p>
    <w:p>
      <w:pPr>
        <w:pStyle w:val="Heading1"/>
        <w:spacing w:after="150" w:before="300"/>
      </w:pPr>
      <w:r>
        <w:t xml:space="preserve">3. Incident Reporting &amp; RCA/CAPA</w:t>
      </w:r>
    </w:p>
    <w:p>
      <w:pPr>
        <w:spacing w:after="150"/>
        <w:jc w:val="both"/>
      </w:pPr>
      <w:r>
        <w:t xml:space="preserve">A blame-free, voluntary incident-reporting system covers adverse events, near-misses and sentinel events. Every reported incident is triaged by severity; moderate-to-severe incidents and all sentinel events trigger a formal Root Cause Analysis within a defined timeframe, leading to a documented Corrective and Preventive Action plan with an assigned owner and a follow-up review date to confirm the action was effective.</w:t>
      </w:r>
    </w:p>
    <w:p>
      <w:pPr>
        <w:pStyle w:val="Heading1"/>
        <w:spacing w:after="150" w:before="300"/>
      </w:pPr>
      <w:r>
        <w:t xml:space="preserve">4. Quality Indicators Tracked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700"/>
      </w:tblGrid>
      <w:tr>
        <w:trPr>
          <w:tblHeader/>
        </w:trPr>
        <w:tc>
          <w:tcPr>
            <w:tcW w:type="dxa" w:w="25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7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 Range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Hospital-Acquired Infection Rate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Infections per 1,000 patient-days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is better; track trend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Fall Rate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Falls per 1,000 patient-days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is better; track trend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Medication Error Rate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 per 1,000 doses dispensed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is better; track trend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Satisfaction (CSAT)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Survey-based composite score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80%–90% target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30-Day Readmission Rate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Readmissions ÷ Total discharges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Case-mix dependent; track trend</w:t>
            </w:r>
          </w:p>
        </w:tc>
      </w:tr>
    </w:tbl>
    <w:p>
      <w:pPr>
        <w:spacing w:after="150"/>
        <w:jc w:val="left"/>
      </w:pPr>
      <w:r>
        <w:t xml:space="preserve"/>
      </w:r>
    </w:p>
    <w:p>
      <w:pPr>
        <w:spacing w:after="150"/>
        <w:jc w:val="left"/>
      </w:pPr>
      <w:r>
        <w:t xml:space="preserve">Monthly indicator values (synthetic, for demonstration) are tracked in the 27_Analytics_Quality sheet of the Master Model and feed the quality module of the analytics dashboard.</w:t>
      </w:r>
    </w:p>
    <w:p>
      <w:pPr>
        <w:pStyle w:val="Heading1"/>
        <w:spacing w:after="150" w:before="300"/>
      </w:pPr>
      <w:r>
        <w:t xml:space="preserve">5. 12-Month NABH Readiness Roadmap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800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6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Quality Cell; finalise policy documents for AAC, COP, ROM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 out incident-reporting system; baseline infection-control audits (HIC)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medication-management protocols (MOM); patient-rights charter (PRE)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quality-indicator dashboard (PSQ); facility-safety and fire-NOC readiness (FMS)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credentialing/privileging and CME tracking (HRM); HIS/EMR stabilisation (IMS)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mock-assessment against all 10 NABH chapters; close identified gaps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Formal application for NABH pre-assessment (entry-level) accreditation</w:t>
            </w:r>
          </w:p>
        </w:tc>
      </w:tr>
    </w:tbl>
    <w:p>
      <w:pPr>
        <w:spacing w:after="150"/>
        <w:jc w:val="left"/>
      </w:pPr>
      <w:r>
        <w:t xml:space="preserve"/>
      </w:r>
    </w:p>
    <w:p>
      <w:pPr>
        <w:pStyle w:val="Heading1"/>
        <w:spacing w:after="150" w:before="300"/>
      </w:pPr>
      <w:r>
        <w:t xml:space="preserve">6. Explicit Limitation</w:t>
      </w:r>
    </w:p>
    <w:p>
      <w:pPr>
        <w:spacing w:after="150"/>
        <w:jc w:val="both"/>
      </w:pPr>
      <w:r>
        <w:t xml:space="preserve">This framework describes a realistic internal readiness pathway using NABH's public 10-chapter structure. It is not, and does not claim to be, an NABH-issued readiness certification — actual accreditation timelines and outcomes depend on a formal external assessment by NABH.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Hospital 360 — Quality Framework</w:t>
    </w:r>
    <w: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4E78"/>
        <w:sz w:val="16"/>
        <w:szCs w:val="16"/>
      </w:rPr>
      <w:t xml:space="preserve">HOSPITAL 360</w:t>
    </w:r>
    <w:r>
      <w:t xml:space="preserve">	</w:t>
    </w:r>
    <w:r>
      <w:rPr>
        <w:color w:val="595959"/>
        <w:sz w:val="16"/>
        <w:szCs w:val="16"/>
      </w:rPr>
      <w:t xml:space="preserve">Quality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Calibri" w:cs="Calibri" w:eastAsia="Calibri" w:hAnsi="Calibri"/>
      <w:b/>
      <w:bCs/>
      <w:color w:val="1F4E78"/>
      <w:sz w:val="40"/>
      <w:szCs w:val="40"/>
    </w:rPr>
  </w:style>
  <w:style w:type="paragraph" w:styleId="Heading1">
    <w:name w:val="Heading 1"/>
    <w:pPr>
      <w:spacing w:after="150" w:before="30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2026-09-15T04:30:43.465Z</dcterms:created>
  <dcterms:modified xsi:type="dcterms:W3CDTF">2026-09-15T04:30:43.465Z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