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07AFE" w14:textId="77777777" w:rsidR="005732E2" w:rsidRDefault="005732E2" w:rsidP="00B765FB">
      <w:pPr>
        <w:spacing w:after="480"/>
        <w:jc w:val="both"/>
      </w:pPr>
    </w:p>
    <w:p w14:paraId="3D1B14ED" w14:textId="11CA8205" w:rsidR="005732E2" w:rsidRDefault="00000000" w:rsidP="00B765FB">
      <w:pPr>
        <w:spacing w:after="80"/>
        <w:jc w:val="both"/>
      </w:pPr>
      <w:r>
        <w:rPr>
          <w:b/>
          <w:bCs/>
          <w:color w:val="2E75B6"/>
          <w:sz w:val="24"/>
          <w:szCs w:val="24"/>
        </w:rPr>
        <w:t xml:space="preserve">MBA Project Report </w:t>
      </w:r>
    </w:p>
    <w:p w14:paraId="52FE99D8" w14:textId="77777777" w:rsidR="005732E2" w:rsidRDefault="005732E2" w:rsidP="00B765FB">
      <w:pPr>
        <w:spacing w:after="120"/>
        <w:jc w:val="both"/>
      </w:pPr>
    </w:p>
    <w:p w14:paraId="0C60D3D4" w14:textId="77777777" w:rsidR="005732E2" w:rsidRDefault="00000000" w:rsidP="001601E4">
      <w:pPr>
        <w:pStyle w:val="Title"/>
      </w:pPr>
      <w:r>
        <w:t>Healthcare Awareness Campaign ROI Analysis</w:t>
      </w:r>
    </w:p>
    <w:p w14:paraId="79AB361E" w14:textId="77777777" w:rsidR="005732E2" w:rsidRDefault="00000000" w:rsidP="00B765FB">
      <w:pPr>
        <w:spacing w:before="160" w:after="80"/>
        <w:jc w:val="both"/>
      </w:pPr>
      <w:r>
        <w:rPr>
          <w:b/>
          <w:bCs/>
          <w:color w:val="2E75B6"/>
          <w:sz w:val="28"/>
          <w:szCs w:val="28"/>
        </w:rPr>
        <w:t>Diabetes Awareness Campaign — 20 Indian Cities</w:t>
      </w:r>
    </w:p>
    <w:p w14:paraId="38480F64" w14:textId="77777777" w:rsidR="005732E2" w:rsidRDefault="005732E2" w:rsidP="00B765FB">
      <w:pPr>
        <w:spacing w:after="360"/>
        <w:jc w:val="both"/>
      </w:pP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tblGrid>
      <w:tr w:rsidR="005732E2" w14:paraId="1F32C801" w14:textId="77777777">
        <w:trPr>
          <w:jc w:val="center"/>
        </w:trPr>
        <w:tc>
          <w:tcPr>
            <w:tcW w:w="216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F8337C9" w14:textId="77777777" w:rsidR="005732E2" w:rsidRDefault="00000000" w:rsidP="00B765FB">
            <w:pPr>
              <w:jc w:val="both"/>
            </w:pPr>
            <w:r>
              <w:rPr>
                <w:b/>
                <w:bCs/>
                <w:color w:val="000000"/>
                <w:sz w:val="20"/>
                <w:szCs w:val="20"/>
              </w:rPr>
              <w:t>Submitted By</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27FFE64C" w14:textId="77777777" w:rsidR="005732E2" w:rsidRDefault="00000000" w:rsidP="00B765FB">
            <w:pPr>
              <w:jc w:val="both"/>
            </w:pPr>
            <w:r>
              <w:rPr>
                <w:color w:val="000000"/>
                <w:sz w:val="20"/>
                <w:szCs w:val="20"/>
              </w:rPr>
              <w:t>Devesh</w:t>
            </w:r>
          </w:p>
        </w:tc>
      </w:tr>
      <w:tr w:rsidR="005732E2" w14:paraId="1D2FA399" w14:textId="77777777">
        <w:trPr>
          <w:jc w:val="center"/>
        </w:trPr>
        <w:tc>
          <w:tcPr>
            <w:tcW w:w="216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7A2F9265" w14:textId="77777777" w:rsidR="005732E2" w:rsidRDefault="00000000" w:rsidP="00B765FB">
            <w:pPr>
              <w:jc w:val="both"/>
            </w:pPr>
            <w:r>
              <w:rPr>
                <w:b/>
                <w:bCs/>
                <w:color w:val="000000"/>
                <w:sz w:val="20"/>
                <w:szCs w:val="20"/>
              </w:rPr>
              <w:t>Program</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0E102A33" w14:textId="77777777" w:rsidR="005732E2" w:rsidRDefault="00000000" w:rsidP="00B765FB">
            <w:pPr>
              <w:jc w:val="both"/>
            </w:pPr>
            <w:r>
              <w:rPr>
                <w:color w:val="000000"/>
                <w:sz w:val="20"/>
                <w:szCs w:val="20"/>
              </w:rPr>
              <w:t>MBA (Pharma &amp; Healthcare)</w:t>
            </w:r>
          </w:p>
        </w:tc>
      </w:tr>
      <w:tr w:rsidR="005732E2" w14:paraId="39671F93" w14:textId="77777777">
        <w:trPr>
          <w:jc w:val="center"/>
        </w:trPr>
        <w:tc>
          <w:tcPr>
            <w:tcW w:w="216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7A3D97B" w14:textId="77777777" w:rsidR="005732E2" w:rsidRDefault="00000000" w:rsidP="00B765FB">
            <w:pPr>
              <w:jc w:val="both"/>
            </w:pPr>
            <w:r>
              <w:rPr>
                <w:b/>
                <w:bCs/>
                <w:color w:val="000000"/>
                <w:sz w:val="20"/>
                <w:szCs w:val="20"/>
              </w:rPr>
              <w:t>University</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3DB26A9" w14:textId="77777777" w:rsidR="005732E2" w:rsidRDefault="00000000" w:rsidP="00B765FB">
            <w:pPr>
              <w:jc w:val="both"/>
            </w:pPr>
            <w:r>
              <w:rPr>
                <w:color w:val="000000"/>
                <w:sz w:val="20"/>
                <w:szCs w:val="20"/>
              </w:rPr>
              <w:t>Shoolini University</w:t>
            </w:r>
          </w:p>
        </w:tc>
      </w:tr>
      <w:tr w:rsidR="005732E2" w14:paraId="0B7EF61E" w14:textId="77777777">
        <w:trPr>
          <w:jc w:val="center"/>
        </w:trPr>
        <w:tc>
          <w:tcPr>
            <w:tcW w:w="216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4331FBF" w14:textId="77777777" w:rsidR="005732E2" w:rsidRDefault="00000000" w:rsidP="00B765FB">
            <w:pPr>
              <w:jc w:val="both"/>
            </w:pPr>
            <w:r>
              <w:rPr>
                <w:b/>
                <w:bCs/>
                <w:color w:val="000000"/>
                <w:sz w:val="20"/>
                <w:szCs w:val="20"/>
              </w:rPr>
              <w:t>Academic Year</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855B7F4" w14:textId="77777777" w:rsidR="005732E2" w:rsidRDefault="00000000" w:rsidP="00B765FB">
            <w:pPr>
              <w:jc w:val="both"/>
            </w:pPr>
            <w:r>
              <w:rPr>
                <w:color w:val="000000"/>
                <w:sz w:val="20"/>
                <w:szCs w:val="20"/>
              </w:rPr>
              <w:t>2024–25</w:t>
            </w:r>
          </w:p>
        </w:tc>
      </w:tr>
    </w:tbl>
    <w:p w14:paraId="20B494B9" w14:textId="77777777" w:rsidR="005732E2" w:rsidRDefault="005732E2" w:rsidP="00B765FB">
      <w:pPr>
        <w:spacing w:after="480"/>
        <w:jc w:val="both"/>
      </w:pPr>
    </w:p>
    <w:p w14:paraId="4ABA3D0C" w14:textId="77777777" w:rsidR="005732E2" w:rsidRDefault="00000000" w:rsidP="00B765FB">
      <w:pPr>
        <w:jc w:val="both"/>
      </w:pPr>
      <w:r>
        <w:rPr>
          <w:i/>
          <w:iCs/>
          <w:color w:val="888888"/>
          <w:sz w:val="18"/>
          <w:szCs w:val="18"/>
        </w:rPr>
        <w:t>Confidential — For Academic Submission Only</w:t>
      </w:r>
    </w:p>
    <w:p w14:paraId="65C4C5E8" w14:textId="77777777" w:rsidR="005732E2" w:rsidRDefault="00000000" w:rsidP="00B765FB">
      <w:pPr>
        <w:jc w:val="both"/>
      </w:pPr>
      <w:r>
        <w:br w:type="page"/>
      </w:r>
    </w:p>
    <w:p w14:paraId="48E9393C" w14:textId="77777777" w:rsidR="005732E2" w:rsidRDefault="00000000" w:rsidP="00B765FB">
      <w:pPr>
        <w:pBdr>
          <w:bottom w:val="single" w:sz="6" w:space="4" w:color="2E75B6"/>
        </w:pBdr>
        <w:spacing w:before="320" w:after="120"/>
        <w:jc w:val="both"/>
      </w:pPr>
      <w:r>
        <w:rPr>
          <w:b/>
          <w:bCs/>
          <w:color w:val="1F4E79"/>
          <w:sz w:val="28"/>
          <w:szCs w:val="28"/>
        </w:rPr>
        <w:lastRenderedPageBreak/>
        <w:t>Section 1 — Introduction</w:t>
      </w:r>
    </w:p>
    <w:p w14:paraId="3645987A" w14:textId="06453B9C" w:rsidR="005732E2" w:rsidRDefault="00000000" w:rsidP="00B765FB">
      <w:pPr>
        <w:spacing w:before="60" w:after="100"/>
        <w:jc w:val="both"/>
      </w:pPr>
      <w:r>
        <w:rPr>
          <w:color w:val="000000"/>
        </w:rPr>
        <w:t xml:space="preserve">Pharmaceutical companies in India increasingly </w:t>
      </w:r>
      <w:r w:rsidR="00B765FB">
        <w:rPr>
          <w:color w:val="000000"/>
        </w:rPr>
        <w:t>recognize</w:t>
      </w:r>
      <w:r>
        <w:rPr>
          <w:color w:val="000000"/>
        </w:rPr>
        <w:t xml:space="preserve"> healthcare awareness campaigns as a strategic lever that bridges the gap between public health objectives and commercial growth. These campaigns are designed to educate target populations, improve disease diagnosis rates, and drive treatment adoption — particularly in chronic, lifestyle-linked therapeutic areas such as diabetes, hypertension, and cardiovascular disease.</w:t>
      </w:r>
    </w:p>
    <w:p w14:paraId="26F74674" w14:textId="77777777" w:rsidR="005732E2" w:rsidRDefault="005732E2" w:rsidP="00B765FB">
      <w:pPr>
        <w:spacing w:after="120"/>
        <w:jc w:val="both"/>
      </w:pPr>
    </w:p>
    <w:p w14:paraId="7756AA93" w14:textId="0CF52FF9" w:rsidR="005732E2" w:rsidRDefault="00000000" w:rsidP="00B765FB">
      <w:pPr>
        <w:spacing w:before="60" w:after="100"/>
        <w:jc w:val="both"/>
      </w:pPr>
      <w:r>
        <w:rPr>
          <w:color w:val="000000"/>
        </w:rPr>
        <w:t xml:space="preserve">In the context of India's growing non-communicable disease burden, early detection and continued treatment adherence are critical. The International Diabetes Federation estimates that a significant proportion of diabetic individuals in India remain undiagnosed, making awareness drives a high-impact intervention. For pharmaceutical </w:t>
      </w:r>
      <w:r w:rsidR="00B765FB">
        <w:rPr>
          <w:color w:val="000000"/>
        </w:rPr>
        <w:t>organizations</w:t>
      </w:r>
      <w:r>
        <w:rPr>
          <w:color w:val="000000"/>
        </w:rPr>
        <w:t xml:space="preserve">, such campaigns serve </w:t>
      </w:r>
      <w:r w:rsidR="00B765FB">
        <w:rPr>
          <w:color w:val="000000"/>
        </w:rPr>
        <w:t>dual</w:t>
      </w:r>
      <w:r>
        <w:rPr>
          <w:color w:val="000000"/>
        </w:rPr>
        <w:t xml:space="preserve"> mandate: they generate goodwill and patient trust while simultaneously expanding the pool of patients requiring pharmacological management.</w:t>
      </w:r>
    </w:p>
    <w:p w14:paraId="52DAD2D2" w14:textId="77777777" w:rsidR="005732E2" w:rsidRDefault="005732E2" w:rsidP="00B765FB">
      <w:pPr>
        <w:spacing w:after="120"/>
        <w:jc w:val="both"/>
      </w:pPr>
    </w:p>
    <w:p w14:paraId="2FD6A139" w14:textId="77777777" w:rsidR="005732E2" w:rsidRDefault="00000000" w:rsidP="00B765FB">
      <w:pPr>
        <w:spacing w:before="60" w:after="100"/>
        <w:jc w:val="both"/>
      </w:pPr>
      <w:r>
        <w:rPr>
          <w:color w:val="000000"/>
        </w:rPr>
        <w:t>Leading Indian pharmaceutical companies — including Sun Pharmaceutical Industries, Cipla, and Dr. Reddy's Laboratories — regularly conduct city-level and community-level awareness programs. These initiatives are integrated into broader patient support programmes and corporate social responsibility (CSR) strategies. By sponsoring screening camps, patient education events, and healthcare professional outreach activities, these companies ensure brand visibility among physicians and patients while contributing to national health goals.</w:t>
      </w:r>
    </w:p>
    <w:p w14:paraId="57F3E6DD" w14:textId="77777777" w:rsidR="005732E2" w:rsidRDefault="005732E2" w:rsidP="00B765FB">
      <w:pPr>
        <w:spacing w:after="120"/>
        <w:jc w:val="both"/>
      </w:pPr>
    </w:p>
    <w:p w14:paraId="42ECA059" w14:textId="2A27FED1" w:rsidR="005732E2" w:rsidRDefault="00000000" w:rsidP="00B765FB">
      <w:pPr>
        <w:spacing w:before="60" w:after="100"/>
        <w:jc w:val="both"/>
      </w:pPr>
      <w:r>
        <w:rPr>
          <w:color w:val="000000"/>
        </w:rPr>
        <w:t>This report analyses a simulated diabetes awareness campaign conducted across 20 major Indian cities. The analysis evaluates campaign efficiency, patient conversion rates, revenue generation potential, and return on investment (</w:t>
      </w:r>
      <w:r w:rsidR="00B765FB">
        <w:rPr>
          <w:color w:val="000000"/>
        </w:rPr>
        <w:t>ROI)</w:t>
      </w:r>
      <w:r>
        <w:rPr>
          <w:color w:val="000000"/>
        </w:rPr>
        <w:t xml:space="preserve"> offering insights into the commercial and healthcare value of such initiatives.</w:t>
      </w:r>
    </w:p>
    <w:p w14:paraId="0AD05E09" w14:textId="77777777" w:rsidR="005732E2" w:rsidRDefault="00000000" w:rsidP="00B765FB">
      <w:pPr>
        <w:pBdr>
          <w:bottom w:val="single" w:sz="6" w:space="4" w:color="2E75B6"/>
        </w:pBdr>
        <w:spacing w:before="320" w:after="120"/>
        <w:jc w:val="both"/>
      </w:pPr>
      <w:r>
        <w:rPr>
          <w:b/>
          <w:bCs/>
          <w:color w:val="1F4E79"/>
          <w:sz w:val="28"/>
          <w:szCs w:val="28"/>
        </w:rPr>
        <w:t>Section 2 — Dataset Description</w:t>
      </w:r>
    </w:p>
    <w:p w14:paraId="76B441BA" w14:textId="77777777" w:rsidR="005732E2" w:rsidRDefault="00000000" w:rsidP="00B765FB">
      <w:pPr>
        <w:spacing w:before="60" w:after="100"/>
        <w:jc w:val="both"/>
      </w:pPr>
      <w:r>
        <w:rPr>
          <w:color w:val="000000"/>
        </w:rPr>
        <w:t>The dataset for this analysis was constructed to simulate a realistic diabetes awareness campaign across a geographically and demographically diverse set of 20 Indian cities, ranging from major metropolitan centres such as Delhi and Mumbai to tier-2 cities including Bhubaneswar and Guwahati.</w:t>
      </w:r>
    </w:p>
    <w:p w14:paraId="7C4A8131" w14:textId="77777777" w:rsidR="005732E2" w:rsidRDefault="005732E2" w:rsidP="00B765FB">
      <w:pPr>
        <w:spacing w:after="120"/>
        <w:jc w:val="both"/>
      </w:pPr>
    </w:p>
    <w:p w14:paraId="514B221F" w14:textId="26CA209E" w:rsidR="005732E2" w:rsidRDefault="00000000" w:rsidP="00B765FB">
      <w:pPr>
        <w:spacing w:before="60" w:after="100"/>
        <w:jc w:val="both"/>
      </w:pPr>
      <w:r>
        <w:rPr>
          <w:color w:val="000000"/>
        </w:rPr>
        <w:t xml:space="preserve">Each city record captures the end-to-end campaign funnel — from initial public outreach through to confirmed treatment initiation. The </w:t>
      </w:r>
      <w:r w:rsidR="00B765FB">
        <w:rPr>
          <w:color w:val="000000"/>
        </w:rPr>
        <w:t>data set</w:t>
      </w:r>
      <w:r>
        <w:rPr>
          <w:color w:val="000000"/>
        </w:rPr>
        <w:t xml:space="preserve"> contains the following five key variables:</w:t>
      </w:r>
    </w:p>
    <w:p w14:paraId="4A68D9B3" w14:textId="77777777" w:rsidR="005732E2" w:rsidRDefault="005732E2" w:rsidP="00B765FB">
      <w:pPr>
        <w:spacing w:after="120"/>
        <w:jc w:val="both"/>
      </w:pPr>
    </w:p>
    <w:p w14:paraId="33748B15" w14:textId="77777777" w:rsidR="005732E2" w:rsidRDefault="00000000" w:rsidP="00B765FB">
      <w:pPr>
        <w:pStyle w:val="ListParagraph"/>
        <w:numPr>
          <w:ilvl w:val="0"/>
          <w:numId w:val="2"/>
        </w:numPr>
        <w:spacing w:before="60" w:after="80"/>
        <w:jc w:val="both"/>
      </w:pPr>
      <w:r>
        <w:rPr>
          <w:color w:val="000000"/>
        </w:rPr>
        <w:t>People Reached — the total number of individuals exposed to campaign messaging through offline and digital outreach activities.</w:t>
      </w:r>
    </w:p>
    <w:p w14:paraId="1908836A" w14:textId="6FBE3797" w:rsidR="005732E2" w:rsidRDefault="00000000" w:rsidP="00B765FB">
      <w:pPr>
        <w:pStyle w:val="ListParagraph"/>
        <w:numPr>
          <w:ilvl w:val="0"/>
          <w:numId w:val="2"/>
        </w:numPr>
        <w:spacing w:before="60" w:after="80"/>
        <w:jc w:val="both"/>
      </w:pPr>
      <w:r>
        <w:rPr>
          <w:color w:val="000000"/>
        </w:rPr>
        <w:t xml:space="preserve">People Screened — individuals who attended </w:t>
      </w:r>
      <w:r w:rsidR="00B765FB">
        <w:rPr>
          <w:color w:val="000000"/>
        </w:rPr>
        <w:t>organized</w:t>
      </w:r>
      <w:r>
        <w:rPr>
          <w:color w:val="000000"/>
        </w:rPr>
        <w:t xml:space="preserve"> screening camps or diagnostic events, representing active campaign engagement.</w:t>
      </w:r>
    </w:p>
    <w:p w14:paraId="76A64ABA" w14:textId="77777777" w:rsidR="005732E2" w:rsidRDefault="00000000" w:rsidP="00B765FB">
      <w:pPr>
        <w:pStyle w:val="ListParagraph"/>
        <w:numPr>
          <w:ilvl w:val="0"/>
          <w:numId w:val="2"/>
        </w:numPr>
        <w:spacing w:before="60" w:after="80"/>
        <w:jc w:val="both"/>
      </w:pPr>
      <w:r>
        <w:rPr>
          <w:color w:val="000000"/>
        </w:rPr>
        <w:t>Diabetes Diagnosed — the number of individuals among those screened who received a confirmed diabetes diagnosis.</w:t>
      </w:r>
    </w:p>
    <w:p w14:paraId="648DBDE0" w14:textId="77777777" w:rsidR="005732E2" w:rsidRDefault="00000000" w:rsidP="00B765FB">
      <w:pPr>
        <w:pStyle w:val="ListParagraph"/>
        <w:numPr>
          <w:ilvl w:val="0"/>
          <w:numId w:val="2"/>
        </w:numPr>
        <w:spacing w:before="60" w:after="80"/>
        <w:jc w:val="both"/>
      </w:pPr>
      <w:r>
        <w:rPr>
          <w:color w:val="000000"/>
        </w:rPr>
        <w:t>Patients Treated — patients who initiated pharmacological treatment following diagnosis, constituting the revenue-generating cohort.</w:t>
      </w:r>
    </w:p>
    <w:p w14:paraId="2CBA2167" w14:textId="77777777" w:rsidR="005732E2" w:rsidRDefault="00000000" w:rsidP="00B765FB">
      <w:pPr>
        <w:pStyle w:val="ListParagraph"/>
        <w:numPr>
          <w:ilvl w:val="0"/>
          <w:numId w:val="2"/>
        </w:numPr>
        <w:spacing w:before="60" w:after="80"/>
        <w:jc w:val="both"/>
      </w:pPr>
      <w:r>
        <w:rPr>
          <w:color w:val="000000"/>
        </w:rPr>
        <w:lastRenderedPageBreak/>
        <w:t>Campaign Cost (₹) — total expenditure incurred per city on logistics, screening, manpower, promotional materials, and digital outreach.</w:t>
      </w:r>
    </w:p>
    <w:p w14:paraId="7BA03CE3" w14:textId="77777777" w:rsidR="005732E2" w:rsidRDefault="005732E2" w:rsidP="00B765FB">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5732E2" w14:paraId="556F7959" w14:textId="77777777">
        <w:trPr>
          <w:tblHeader/>
        </w:trPr>
        <w:tc>
          <w:tcPr>
            <w:tcW w:w="36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4D4CD3D0" w14:textId="77777777" w:rsidR="005732E2" w:rsidRDefault="00000000" w:rsidP="00B765FB">
            <w:pPr>
              <w:jc w:val="both"/>
            </w:pPr>
            <w:r>
              <w:rPr>
                <w:b/>
                <w:bCs/>
                <w:color w:val="FFFFFF"/>
                <w:sz w:val="20"/>
                <w:szCs w:val="20"/>
              </w:rPr>
              <w:t>Metric</w:t>
            </w:r>
          </w:p>
        </w:tc>
        <w:tc>
          <w:tcPr>
            <w:tcW w:w="288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1766BC70" w14:textId="77777777" w:rsidR="005732E2" w:rsidRDefault="00000000" w:rsidP="00B765FB">
            <w:pPr>
              <w:jc w:val="both"/>
            </w:pPr>
            <w:r>
              <w:rPr>
                <w:b/>
                <w:bCs/>
                <w:color w:val="FFFFFF"/>
                <w:sz w:val="20"/>
                <w:szCs w:val="20"/>
              </w:rPr>
              <w:t>Total (All 20 Cities)</w:t>
            </w:r>
          </w:p>
        </w:tc>
        <w:tc>
          <w:tcPr>
            <w:tcW w:w="288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5B57E16A" w14:textId="77777777" w:rsidR="005732E2" w:rsidRDefault="00000000" w:rsidP="00B765FB">
            <w:pPr>
              <w:jc w:val="both"/>
            </w:pPr>
            <w:r>
              <w:rPr>
                <w:b/>
                <w:bCs/>
                <w:color w:val="FFFFFF"/>
                <w:sz w:val="20"/>
                <w:szCs w:val="20"/>
              </w:rPr>
              <w:t>Average per City</w:t>
            </w:r>
          </w:p>
        </w:tc>
      </w:tr>
      <w:tr w:rsidR="005732E2" w14:paraId="69C92F5B" w14:textId="77777777">
        <w:tc>
          <w:tcPr>
            <w:tcW w:w="36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08F1D01" w14:textId="77777777" w:rsidR="005732E2" w:rsidRDefault="00000000" w:rsidP="00B765FB">
            <w:pPr>
              <w:jc w:val="both"/>
            </w:pPr>
            <w:r>
              <w:rPr>
                <w:color w:val="000000"/>
                <w:sz w:val="20"/>
                <w:szCs w:val="20"/>
              </w:rPr>
              <w:t>People Reached</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D5888C0" w14:textId="77777777" w:rsidR="005732E2" w:rsidRDefault="00000000" w:rsidP="00B765FB">
            <w:pPr>
              <w:jc w:val="both"/>
            </w:pPr>
            <w:r>
              <w:rPr>
                <w:color w:val="000000"/>
                <w:sz w:val="20"/>
                <w:szCs w:val="20"/>
              </w:rPr>
              <w:t>1,29,300</w:t>
            </w:r>
          </w:p>
        </w:tc>
        <w:tc>
          <w:tcPr>
            <w:tcW w:w="28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8832257" w14:textId="77777777" w:rsidR="005732E2" w:rsidRDefault="00000000" w:rsidP="00B765FB">
            <w:pPr>
              <w:jc w:val="both"/>
            </w:pPr>
            <w:r>
              <w:rPr>
                <w:color w:val="000000"/>
                <w:sz w:val="20"/>
                <w:szCs w:val="20"/>
              </w:rPr>
              <w:t>6,465</w:t>
            </w:r>
          </w:p>
        </w:tc>
      </w:tr>
      <w:tr w:rsidR="005732E2" w14:paraId="2E7A2D66" w14:textId="77777777">
        <w:tc>
          <w:tcPr>
            <w:tcW w:w="36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662AA866" w14:textId="77777777" w:rsidR="005732E2" w:rsidRDefault="00000000" w:rsidP="00B765FB">
            <w:pPr>
              <w:jc w:val="both"/>
            </w:pPr>
            <w:r>
              <w:rPr>
                <w:color w:val="000000"/>
                <w:sz w:val="20"/>
                <w:szCs w:val="20"/>
              </w:rPr>
              <w:t>People Screened</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0D8B31F1" w14:textId="77777777" w:rsidR="005732E2" w:rsidRDefault="00000000" w:rsidP="00B765FB">
            <w:pPr>
              <w:jc w:val="both"/>
            </w:pPr>
            <w:r>
              <w:rPr>
                <w:color w:val="000000"/>
                <w:sz w:val="20"/>
                <w:szCs w:val="20"/>
              </w:rPr>
              <w:t>22,420</w:t>
            </w:r>
          </w:p>
        </w:tc>
        <w:tc>
          <w:tcPr>
            <w:tcW w:w="28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00798B5" w14:textId="77777777" w:rsidR="005732E2" w:rsidRDefault="00000000" w:rsidP="00B765FB">
            <w:pPr>
              <w:jc w:val="both"/>
            </w:pPr>
            <w:r>
              <w:rPr>
                <w:color w:val="000000"/>
                <w:sz w:val="20"/>
                <w:szCs w:val="20"/>
              </w:rPr>
              <w:t>1,121</w:t>
            </w:r>
          </w:p>
        </w:tc>
      </w:tr>
      <w:tr w:rsidR="005732E2" w14:paraId="07DBD722" w14:textId="77777777">
        <w:tc>
          <w:tcPr>
            <w:tcW w:w="36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202C6D23" w14:textId="77777777" w:rsidR="005732E2" w:rsidRDefault="00000000" w:rsidP="00B765FB">
            <w:pPr>
              <w:jc w:val="both"/>
            </w:pPr>
            <w:r>
              <w:rPr>
                <w:color w:val="000000"/>
                <w:sz w:val="20"/>
                <w:szCs w:val="20"/>
              </w:rPr>
              <w:t>Diabetes Diagnosed</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63638B57" w14:textId="77777777" w:rsidR="005732E2" w:rsidRDefault="00000000" w:rsidP="00B765FB">
            <w:pPr>
              <w:jc w:val="both"/>
            </w:pPr>
            <w:r>
              <w:rPr>
                <w:color w:val="000000"/>
                <w:sz w:val="20"/>
                <w:szCs w:val="20"/>
              </w:rPr>
              <w:t>3,865</w:t>
            </w:r>
          </w:p>
        </w:tc>
        <w:tc>
          <w:tcPr>
            <w:tcW w:w="28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7CE56836" w14:textId="77777777" w:rsidR="005732E2" w:rsidRDefault="00000000" w:rsidP="00B765FB">
            <w:pPr>
              <w:jc w:val="both"/>
            </w:pPr>
            <w:r>
              <w:rPr>
                <w:color w:val="000000"/>
                <w:sz w:val="20"/>
                <w:szCs w:val="20"/>
              </w:rPr>
              <w:t>193</w:t>
            </w:r>
          </w:p>
        </w:tc>
      </w:tr>
      <w:tr w:rsidR="005732E2" w14:paraId="178E409F" w14:textId="77777777">
        <w:tc>
          <w:tcPr>
            <w:tcW w:w="36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17D8DC0A" w14:textId="77777777" w:rsidR="005732E2" w:rsidRDefault="00000000" w:rsidP="00B765FB">
            <w:pPr>
              <w:jc w:val="both"/>
            </w:pPr>
            <w:r>
              <w:rPr>
                <w:color w:val="000000"/>
                <w:sz w:val="20"/>
                <w:szCs w:val="20"/>
              </w:rPr>
              <w:t>Patients Treated</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57E374F" w14:textId="77777777" w:rsidR="005732E2" w:rsidRDefault="00000000" w:rsidP="00B765FB">
            <w:pPr>
              <w:jc w:val="both"/>
            </w:pPr>
            <w:r>
              <w:rPr>
                <w:color w:val="000000"/>
                <w:sz w:val="20"/>
                <w:szCs w:val="20"/>
              </w:rPr>
              <w:t>2,388</w:t>
            </w:r>
          </w:p>
        </w:tc>
        <w:tc>
          <w:tcPr>
            <w:tcW w:w="28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061CBD13" w14:textId="77777777" w:rsidR="005732E2" w:rsidRDefault="00000000" w:rsidP="00B765FB">
            <w:pPr>
              <w:jc w:val="both"/>
            </w:pPr>
            <w:r>
              <w:rPr>
                <w:color w:val="000000"/>
                <w:sz w:val="20"/>
                <w:szCs w:val="20"/>
              </w:rPr>
              <w:t>119</w:t>
            </w:r>
          </w:p>
        </w:tc>
      </w:tr>
      <w:tr w:rsidR="005732E2" w14:paraId="69C61B3D" w14:textId="77777777">
        <w:tc>
          <w:tcPr>
            <w:tcW w:w="36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751C883" w14:textId="77777777" w:rsidR="005732E2" w:rsidRDefault="00000000" w:rsidP="00B765FB">
            <w:pPr>
              <w:jc w:val="both"/>
            </w:pPr>
            <w:r>
              <w:rPr>
                <w:color w:val="000000"/>
                <w:sz w:val="20"/>
                <w:szCs w:val="20"/>
              </w:rPr>
              <w:t>Total Campaign Cost</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27861EA3" w14:textId="77777777" w:rsidR="005732E2" w:rsidRDefault="00000000" w:rsidP="00B765FB">
            <w:pPr>
              <w:jc w:val="both"/>
            </w:pPr>
            <w:r>
              <w:rPr>
                <w:color w:val="000000"/>
                <w:sz w:val="20"/>
                <w:szCs w:val="20"/>
              </w:rPr>
              <w:t>₹20,18,000</w:t>
            </w:r>
          </w:p>
        </w:tc>
        <w:tc>
          <w:tcPr>
            <w:tcW w:w="28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5F520CE8" w14:textId="77777777" w:rsidR="005732E2" w:rsidRDefault="00000000" w:rsidP="00B765FB">
            <w:pPr>
              <w:jc w:val="both"/>
            </w:pPr>
            <w:r>
              <w:rPr>
                <w:color w:val="000000"/>
                <w:sz w:val="20"/>
                <w:szCs w:val="20"/>
              </w:rPr>
              <w:t>₹1,00,900</w:t>
            </w:r>
          </w:p>
        </w:tc>
      </w:tr>
    </w:tbl>
    <w:p w14:paraId="700FCFC5" w14:textId="77777777" w:rsidR="005732E2" w:rsidRDefault="005732E2" w:rsidP="00B765FB">
      <w:pPr>
        <w:spacing w:after="120"/>
        <w:jc w:val="both"/>
      </w:pPr>
    </w:p>
    <w:p w14:paraId="29A2A5E3" w14:textId="77777777" w:rsidR="005732E2" w:rsidRDefault="00000000" w:rsidP="00B765FB">
      <w:pPr>
        <w:spacing w:before="60" w:after="100"/>
        <w:jc w:val="both"/>
      </w:pPr>
      <w:r>
        <w:rPr>
          <w:color w:val="000000"/>
        </w:rPr>
        <w:t>Delhi, Mumbai, and Bangalore generated the highest campaign reach owing to larger population bases and greater healthcare infrastructure density. Tier-2 cities such as Guwahati and Bhubaneswar recorded comparatively lower reach but demonstrated strong screening-to-diagnosis conversion ratios, suggesting higher relative disease prevalence or more targeted campaign execution in these markets.</w:t>
      </w:r>
    </w:p>
    <w:p w14:paraId="5FC2CFE7" w14:textId="77777777" w:rsidR="005732E2" w:rsidRDefault="00000000" w:rsidP="00B765FB">
      <w:pPr>
        <w:pBdr>
          <w:bottom w:val="single" w:sz="6" w:space="4" w:color="2E75B6"/>
        </w:pBdr>
        <w:spacing w:before="320" w:after="120"/>
        <w:jc w:val="both"/>
      </w:pPr>
      <w:r>
        <w:rPr>
          <w:b/>
          <w:bCs/>
          <w:color w:val="1F4E79"/>
          <w:sz w:val="28"/>
          <w:szCs w:val="28"/>
        </w:rPr>
        <w:t>Section 3 — Campaign Funnel Analysis</w:t>
      </w:r>
    </w:p>
    <w:p w14:paraId="4FAEB3F9" w14:textId="77777777" w:rsidR="005732E2" w:rsidRDefault="00000000" w:rsidP="00B765FB">
      <w:pPr>
        <w:spacing w:before="60" w:after="100"/>
        <w:jc w:val="both"/>
      </w:pPr>
      <w:r>
        <w:rPr>
          <w:color w:val="000000"/>
        </w:rPr>
        <w:t>The campaign funnel represents the progressive conversion of population exposure into tangible health outcomes. This analysis traces four discrete stages: awareness reach → screening participation → confirmed diagnosis → treatment initiation. Each stage reflects a critical decision point in the patient journey.</w:t>
      </w:r>
    </w:p>
    <w:p w14:paraId="7C3B363D" w14:textId="77777777" w:rsidR="005732E2" w:rsidRDefault="005732E2" w:rsidP="00B765FB">
      <w:pPr>
        <w:spacing w:after="120"/>
        <w:jc w:val="both"/>
      </w:pPr>
    </w:p>
    <w:p w14:paraId="069CB9C0" w14:textId="77777777" w:rsidR="005732E2" w:rsidRDefault="00000000" w:rsidP="00B765FB">
      <w:pPr>
        <w:spacing w:before="200" w:after="120"/>
        <w:jc w:val="both"/>
      </w:pPr>
      <w:proofErr w:type="gramStart"/>
      <w:r>
        <w:rPr>
          <w:b/>
          <w:bCs/>
          <w:color w:val="2E75B6"/>
          <w:sz w:val="24"/>
          <w:szCs w:val="24"/>
        </w:rPr>
        <w:t>3.1  Funnel</w:t>
      </w:r>
      <w:proofErr w:type="gramEnd"/>
      <w:r>
        <w:rPr>
          <w:b/>
          <w:bCs/>
          <w:color w:val="2E75B6"/>
          <w:sz w:val="24"/>
          <w:szCs w:val="24"/>
        </w:rPr>
        <w:t xml:space="preserve"> Stage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2080"/>
        <w:gridCol w:w="2000"/>
      </w:tblGrid>
      <w:tr w:rsidR="005732E2" w14:paraId="4D7E22DD" w14:textId="77777777">
        <w:trPr>
          <w:tblHeader/>
        </w:trPr>
        <w:tc>
          <w:tcPr>
            <w:tcW w:w="32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458EAA54" w14:textId="77777777" w:rsidR="005732E2" w:rsidRDefault="00000000" w:rsidP="00B765FB">
            <w:pPr>
              <w:jc w:val="both"/>
            </w:pPr>
            <w:r>
              <w:rPr>
                <w:b/>
                <w:bCs/>
                <w:color w:val="FFFFFF"/>
                <w:sz w:val="20"/>
                <w:szCs w:val="20"/>
              </w:rPr>
              <w:t>Funnel Stage</w:t>
            </w:r>
          </w:p>
        </w:tc>
        <w:tc>
          <w:tcPr>
            <w:tcW w:w="208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0D293F78" w14:textId="77777777" w:rsidR="005732E2" w:rsidRDefault="00000000" w:rsidP="00B765FB">
            <w:pPr>
              <w:jc w:val="both"/>
            </w:pPr>
            <w:r>
              <w:rPr>
                <w:b/>
                <w:bCs/>
                <w:color w:val="FFFFFF"/>
                <w:sz w:val="20"/>
                <w:szCs w:val="20"/>
              </w:rPr>
              <w:t>Count</w:t>
            </w:r>
          </w:p>
        </w:tc>
        <w:tc>
          <w:tcPr>
            <w:tcW w:w="208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0274A81A" w14:textId="77777777" w:rsidR="005732E2" w:rsidRDefault="00000000" w:rsidP="00B765FB">
            <w:pPr>
              <w:jc w:val="both"/>
            </w:pPr>
            <w:r>
              <w:rPr>
                <w:b/>
                <w:bCs/>
                <w:color w:val="FFFFFF"/>
                <w:sz w:val="20"/>
                <w:szCs w:val="20"/>
              </w:rPr>
              <w:t>Conversion Rate</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5061A830" w14:textId="77777777" w:rsidR="005732E2" w:rsidRDefault="00000000" w:rsidP="00B765FB">
            <w:pPr>
              <w:jc w:val="both"/>
            </w:pPr>
            <w:r>
              <w:rPr>
                <w:b/>
                <w:bCs/>
                <w:color w:val="FFFFFF"/>
                <w:sz w:val="20"/>
                <w:szCs w:val="20"/>
              </w:rPr>
              <w:t>Drop-off</w:t>
            </w:r>
          </w:p>
        </w:tc>
      </w:tr>
      <w:tr w:rsidR="005732E2" w14:paraId="187694B6" w14:textId="77777777">
        <w:tc>
          <w:tcPr>
            <w:tcW w:w="32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7B0C5891" w14:textId="77777777" w:rsidR="005732E2" w:rsidRDefault="00000000" w:rsidP="00B765FB">
            <w:pPr>
              <w:jc w:val="both"/>
            </w:pPr>
            <w:r>
              <w:rPr>
                <w:color w:val="000000"/>
                <w:sz w:val="20"/>
                <w:szCs w:val="20"/>
              </w:rPr>
              <w:t>People Reached</w:t>
            </w:r>
          </w:p>
        </w:tc>
        <w:tc>
          <w:tcPr>
            <w:tcW w:w="2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23AE9C2D" w14:textId="77777777" w:rsidR="005732E2" w:rsidRDefault="00000000" w:rsidP="00B765FB">
            <w:pPr>
              <w:jc w:val="both"/>
            </w:pPr>
            <w:r>
              <w:rPr>
                <w:color w:val="000000"/>
                <w:sz w:val="20"/>
                <w:szCs w:val="20"/>
              </w:rPr>
              <w:t>1,29,300</w:t>
            </w:r>
          </w:p>
        </w:tc>
        <w:tc>
          <w:tcPr>
            <w:tcW w:w="20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7CAA3A98" w14:textId="77777777" w:rsidR="005732E2" w:rsidRDefault="00000000" w:rsidP="00B765FB">
            <w:pPr>
              <w:jc w:val="both"/>
            </w:pPr>
            <w:r>
              <w:rPr>
                <w:color w:val="000000"/>
                <w:sz w:val="20"/>
                <w:szCs w:val="20"/>
              </w:rPr>
              <w: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2996C7AA" w14:textId="77777777" w:rsidR="005732E2" w:rsidRDefault="00000000" w:rsidP="00B765FB">
            <w:pPr>
              <w:jc w:val="both"/>
            </w:pPr>
            <w:r>
              <w:rPr>
                <w:color w:val="000000"/>
                <w:sz w:val="20"/>
                <w:szCs w:val="20"/>
              </w:rPr>
              <w:t>—</w:t>
            </w:r>
          </w:p>
        </w:tc>
      </w:tr>
      <w:tr w:rsidR="005732E2" w14:paraId="6FE8A4FF" w14:textId="77777777">
        <w:tc>
          <w:tcPr>
            <w:tcW w:w="32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1833B654" w14:textId="77777777" w:rsidR="005732E2" w:rsidRDefault="00000000" w:rsidP="00B765FB">
            <w:pPr>
              <w:jc w:val="both"/>
            </w:pPr>
            <w:r>
              <w:rPr>
                <w:color w:val="000000"/>
                <w:sz w:val="20"/>
                <w:szCs w:val="20"/>
              </w:rPr>
              <w:t>People Screened</w:t>
            </w:r>
          </w:p>
        </w:tc>
        <w:tc>
          <w:tcPr>
            <w:tcW w:w="2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12E66E70" w14:textId="77777777" w:rsidR="005732E2" w:rsidRDefault="00000000" w:rsidP="00B765FB">
            <w:pPr>
              <w:jc w:val="both"/>
            </w:pPr>
            <w:r>
              <w:rPr>
                <w:color w:val="000000"/>
                <w:sz w:val="20"/>
                <w:szCs w:val="20"/>
              </w:rPr>
              <w:t>22,420</w:t>
            </w:r>
          </w:p>
        </w:tc>
        <w:tc>
          <w:tcPr>
            <w:tcW w:w="20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2D2781D3" w14:textId="77777777" w:rsidR="005732E2" w:rsidRDefault="00000000" w:rsidP="00B765FB">
            <w:pPr>
              <w:jc w:val="both"/>
            </w:pPr>
            <w:r>
              <w:rPr>
                <w:color w:val="000000"/>
                <w:sz w:val="20"/>
                <w:szCs w:val="20"/>
              </w:rPr>
              <w:t>17.3%</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5FAC4BE6" w14:textId="77777777" w:rsidR="005732E2" w:rsidRDefault="00000000" w:rsidP="00B765FB">
            <w:pPr>
              <w:jc w:val="both"/>
            </w:pPr>
            <w:r>
              <w:rPr>
                <w:color w:val="000000"/>
                <w:sz w:val="20"/>
                <w:szCs w:val="20"/>
              </w:rPr>
              <w:t>82.7%</w:t>
            </w:r>
          </w:p>
        </w:tc>
      </w:tr>
      <w:tr w:rsidR="005732E2" w14:paraId="547FFDFC" w14:textId="77777777">
        <w:tc>
          <w:tcPr>
            <w:tcW w:w="32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B0EC0CC" w14:textId="77777777" w:rsidR="005732E2" w:rsidRDefault="00000000" w:rsidP="00B765FB">
            <w:pPr>
              <w:jc w:val="both"/>
            </w:pPr>
            <w:r>
              <w:rPr>
                <w:color w:val="000000"/>
                <w:sz w:val="20"/>
                <w:szCs w:val="20"/>
              </w:rPr>
              <w:t>Diabetes Diagnosed</w:t>
            </w:r>
          </w:p>
        </w:tc>
        <w:tc>
          <w:tcPr>
            <w:tcW w:w="2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10073D2F" w14:textId="77777777" w:rsidR="005732E2" w:rsidRDefault="00000000" w:rsidP="00B765FB">
            <w:pPr>
              <w:jc w:val="both"/>
            </w:pPr>
            <w:r>
              <w:rPr>
                <w:color w:val="000000"/>
                <w:sz w:val="20"/>
                <w:szCs w:val="20"/>
              </w:rPr>
              <w:t>3,865</w:t>
            </w:r>
          </w:p>
        </w:tc>
        <w:tc>
          <w:tcPr>
            <w:tcW w:w="20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00C2FD35" w14:textId="77777777" w:rsidR="005732E2" w:rsidRDefault="00000000" w:rsidP="00B765FB">
            <w:pPr>
              <w:jc w:val="both"/>
            </w:pPr>
            <w:r>
              <w:rPr>
                <w:color w:val="000000"/>
                <w:sz w:val="20"/>
                <w:szCs w:val="20"/>
              </w:rPr>
              <w:t>17.2%</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53789885" w14:textId="77777777" w:rsidR="005732E2" w:rsidRDefault="00000000" w:rsidP="00B765FB">
            <w:pPr>
              <w:jc w:val="both"/>
            </w:pPr>
            <w:r>
              <w:rPr>
                <w:color w:val="000000"/>
                <w:sz w:val="20"/>
                <w:szCs w:val="20"/>
              </w:rPr>
              <w:t>82.8%</w:t>
            </w:r>
          </w:p>
        </w:tc>
      </w:tr>
      <w:tr w:rsidR="005732E2" w14:paraId="1DB49D35" w14:textId="77777777">
        <w:tc>
          <w:tcPr>
            <w:tcW w:w="32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D3F7F6B" w14:textId="77777777" w:rsidR="005732E2" w:rsidRDefault="00000000" w:rsidP="00B765FB">
            <w:pPr>
              <w:jc w:val="both"/>
            </w:pPr>
            <w:r>
              <w:rPr>
                <w:color w:val="000000"/>
                <w:sz w:val="20"/>
                <w:szCs w:val="20"/>
              </w:rPr>
              <w:t>Patients Treated</w:t>
            </w:r>
          </w:p>
        </w:tc>
        <w:tc>
          <w:tcPr>
            <w:tcW w:w="2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180801AB" w14:textId="77777777" w:rsidR="005732E2" w:rsidRDefault="00000000" w:rsidP="00B765FB">
            <w:pPr>
              <w:jc w:val="both"/>
            </w:pPr>
            <w:r>
              <w:rPr>
                <w:color w:val="000000"/>
                <w:sz w:val="20"/>
                <w:szCs w:val="20"/>
              </w:rPr>
              <w:t>2,388</w:t>
            </w:r>
          </w:p>
        </w:tc>
        <w:tc>
          <w:tcPr>
            <w:tcW w:w="20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0634AFC7" w14:textId="77777777" w:rsidR="005732E2" w:rsidRDefault="00000000" w:rsidP="00B765FB">
            <w:pPr>
              <w:jc w:val="both"/>
            </w:pPr>
            <w:r>
              <w:rPr>
                <w:color w:val="000000"/>
                <w:sz w:val="20"/>
                <w:szCs w:val="20"/>
              </w:rPr>
              <w:t>61.8%</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2E4810AE" w14:textId="77777777" w:rsidR="005732E2" w:rsidRDefault="00000000" w:rsidP="00B765FB">
            <w:pPr>
              <w:jc w:val="both"/>
            </w:pPr>
            <w:r>
              <w:rPr>
                <w:color w:val="000000"/>
                <w:sz w:val="20"/>
                <w:szCs w:val="20"/>
              </w:rPr>
              <w:t>38.2%</w:t>
            </w:r>
          </w:p>
        </w:tc>
      </w:tr>
      <w:tr w:rsidR="005732E2" w14:paraId="329572CE" w14:textId="77777777">
        <w:tc>
          <w:tcPr>
            <w:tcW w:w="320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4FFC45C" w14:textId="77777777" w:rsidR="005732E2" w:rsidRDefault="00000000" w:rsidP="00B765FB">
            <w:pPr>
              <w:jc w:val="both"/>
            </w:pPr>
            <w:r>
              <w:rPr>
                <w:b/>
                <w:bCs/>
                <w:color w:val="000000"/>
                <w:sz w:val="20"/>
                <w:szCs w:val="20"/>
              </w:rPr>
              <w:t>Overall Conversion (Reached → Treated)</w:t>
            </w:r>
          </w:p>
        </w:tc>
        <w:tc>
          <w:tcPr>
            <w:tcW w:w="20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531CC98C" w14:textId="77777777" w:rsidR="005732E2" w:rsidRDefault="00000000" w:rsidP="00B765FB">
            <w:pPr>
              <w:jc w:val="both"/>
            </w:pPr>
            <w:r>
              <w:rPr>
                <w:color w:val="000000"/>
                <w:sz w:val="20"/>
                <w:szCs w:val="20"/>
              </w:rPr>
              <w:t>2,388</w:t>
            </w:r>
          </w:p>
        </w:tc>
        <w:tc>
          <w:tcPr>
            <w:tcW w:w="208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126CEEAE" w14:textId="77777777" w:rsidR="005732E2" w:rsidRDefault="00000000" w:rsidP="00B765FB">
            <w:pPr>
              <w:jc w:val="both"/>
            </w:pPr>
            <w:r>
              <w:rPr>
                <w:b/>
                <w:bCs/>
                <w:color w:val="000000"/>
                <w:sz w:val="20"/>
                <w:szCs w:val="20"/>
              </w:rPr>
              <w:t>1.85%</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80D557C" w14:textId="77777777" w:rsidR="005732E2" w:rsidRDefault="00000000" w:rsidP="00B765FB">
            <w:pPr>
              <w:jc w:val="both"/>
            </w:pPr>
            <w:r>
              <w:rPr>
                <w:color w:val="000000"/>
                <w:sz w:val="20"/>
                <w:szCs w:val="20"/>
              </w:rPr>
              <w:t>98.15%</w:t>
            </w:r>
          </w:p>
        </w:tc>
      </w:tr>
    </w:tbl>
    <w:p w14:paraId="2A620CF3" w14:textId="77777777" w:rsidR="005732E2" w:rsidRDefault="005732E2" w:rsidP="00B765FB">
      <w:pPr>
        <w:spacing w:after="120"/>
        <w:jc w:val="both"/>
      </w:pPr>
    </w:p>
    <w:p w14:paraId="0E977E07" w14:textId="4E8248C0" w:rsidR="005732E2" w:rsidRDefault="00B765FB" w:rsidP="00B765FB">
      <w:pPr>
        <w:spacing w:before="200" w:after="120"/>
        <w:jc w:val="both"/>
      </w:pPr>
      <w:r>
        <w:rPr>
          <w:b/>
          <w:bCs/>
          <w:color w:val="2E75B6"/>
          <w:sz w:val="24"/>
          <w:szCs w:val="24"/>
        </w:rPr>
        <w:t>3.2 Key Observations</w:t>
      </w:r>
    </w:p>
    <w:p w14:paraId="64CA8B69" w14:textId="77777777" w:rsidR="005732E2" w:rsidRDefault="00000000" w:rsidP="00B765FB">
      <w:pPr>
        <w:pStyle w:val="ListParagraph"/>
        <w:numPr>
          <w:ilvl w:val="0"/>
          <w:numId w:val="2"/>
        </w:numPr>
        <w:spacing w:before="60" w:after="80"/>
        <w:jc w:val="both"/>
      </w:pPr>
      <w:r>
        <w:rPr>
          <w:color w:val="000000"/>
        </w:rPr>
        <w:t>The screening uptake rate of 17.3% is consistent with real-world community health camp participation benchmarks for urban India, where awareness-to-action conversion typically ranges between 15–25%.</w:t>
      </w:r>
    </w:p>
    <w:p w14:paraId="4953362D" w14:textId="77777777" w:rsidR="005732E2" w:rsidRDefault="00000000" w:rsidP="00B765FB">
      <w:pPr>
        <w:pStyle w:val="ListParagraph"/>
        <w:numPr>
          <w:ilvl w:val="0"/>
          <w:numId w:val="2"/>
        </w:numPr>
        <w:spacing w:before="60" w:after="80"/>
        <w:jc w:val="both"/>
      </w:pPr>
      <w:r>
        <w:rPr>
          <w:color w:val="000000"/>
        </w:rPr>
        <w:t>The diagnosis rate of 17.2% among screened individuals is notably high, reflecting either a well-targeted campaign demographic (high-risk population segments) or elevated unmet diagnostic need in the surveyed cities.</w:t>
      </w:r>
    </w:p>
    <w:p w14:paraId="18523FEE" w14:textId="77777777" w:rsidR="005732E2" w:rsidRDefault="00000000" w:rsidP="00B765FB">
      <w:pPr>
        <w:pStyle w:val="ListParagraph"/>
        <w:numPr>
          <w:ilvl w:val="0"/>
          <w:numId w:val="2"/>
        </w:numPr>
        <w:spacing w:before="60" w:after="80"/>
        <w:jc w:val="both"/>
      </w:pPr>
      <w:r>
        <w:rPr>
          <w:color w:val="000000"/>
        </w:rPr>
        <w:lastRenderedPageBreak/>
        <w:t>The treatment initiation rate of 61.8% among diagnosed patients is a strong indicator of campaign quality — it suggests that healthcare counselling and physician referral pathways embedded within the campaign were effective.</w:t>
      </w:r>
    </w:p>
    <w:p w14:paraId="266B504D" w14:textId="77777777" w:rsidR="005732E2" w:rsidRDefault="00000000" w:rsidP="00B765FB">
      <w:pPr>
        <w:pStyle w:val="ListParagraph"/>
        <w:numPr>
          <w:ilvl w:val="0"/>
          <w:numId w:val="2"/>
        </w:numPr>
        <w:spacing w:before="60" w:after="80"/>
        <w:jc w:val="both"/>
      </w:pPr>
      <w:r>
        <w:rPr>
          <w:color w:val="000000"/>
        </w:rPr>
        <w:t>Metro cities such as Delhi and Mumbai contributed disproportionately to absolute reach numbers, while some smaller cities demonstrated higher per-capita screening efficiency.</w:t>
      </w:r>
    </w:p>
    <w:p w14:paraId="7DF44E58" w14:textId="77777777" w:rsidR="005732E2" w:rsidRDefault="00000000" w:rsidP="00B765FB">
      <w:pPr>
        <w:pStyle w:val="ListParagraph"/>
        <w:numPr>
          <w:ilvl w:val="0"/>
          <w:numId w:val="2"/>
        </w:numPr>
        <w:spacing w:before="60" w:after="80"/>
        <w:jc w:val="both"/>
      </w:pPr>
      <w:r>
        <w:rPr>
          <w:color w:val="000000"/>
        </w:rPr>
        <w:t>The end-to-end conversion from campaign reach to treated patient stands at 1.85%, which is commercially significant given the large base of 1,29,300 individuals reached.</w:t>
      </w:r>
    </w:p>
    <w:p w14:paraId="206E84E6" w14:textId="77777777" w:rsidR="005732E2" w:rsidRDefault="00000000" w:rsidP="00B765FB">
      <w:pPr>
        <w:pBdr>
          <w:bottom w:val="single" w:sz="6" w:space="4" w:color="2E75B6"/>
        </w:pBdr>
        <w:spacing w:before="320" w:after="120"/>
        <w:jc w:val="both"/>
      </w:pPr>
      <w:r>
        <w:rPr>
          <w:b/>
          <w:bCs/>
          <w:color w:val="1F4E79"/>
          <w:sz w:val="28"/>
          <w:szCs w:val="28"/>
        </w:rPr>
        <w:t>Section 4 — Revenue Model</w:t>
      </w:r>
    </w:p>
    <w:p w14:paraId="4AED3A01" w14:textId="77777777" w:rsidR="005732E2" w:rsidRDefault="00000000" w:rsidP="00B765FB">
      <w:pPr>
        <w:spacing w:before="60" w:after="100"/>
        <w:jc w:val="both"/>
      </w:pPr>
      <w:r>
        <w:rPr>
          <w:color w:val="000000"/>
        </w:rPr>
        <w:t>The revenue model quantifies the pharmaceutical revenue generated from patients who initiated treatment following the campaign. The model adopts a conservative, bottom-up estimation approach anchored to realistic medicine pricing benchmarks.</w:t>
      </w:r>
    </w:p>
    <w:p w14:paraId="09D71906" w14:textId="77777777" w:rsidR="005732E2" w:rsidRDefault="005732E2" w:rsidP="00B765FB">
      <w:pPr>
        <w:spacing w:after="120"/>
        <w:jc w:val="both"/>
      </w:pPr>
    </w:p>
    <w:p w14:paraId="1BE7BACC" w14:textId="30BC4FA2" w:rsidR="005732E2" w:rsidRDefault="00B765FB" w:rsidP="00B765FB">
      <w:pPr>
        <w:spacing w:before="200" w:after="120"/>
        <w:jc w:val="both"/>
      </w:pPr>
      <w:r>
        <w:rPr>
          <w:b/>
          <w:bCs/>
          <w:color w:val="2E75B6"/>
          <w:sz w:val="24"/>
          <w:szCs w:val="24"/>
        </w:rPr>
        <w:t>4.1 Revenue Assumptions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880"/>
      </w:tblGrid>
      <w:tr w:rsidR="005732E2" w14:paraId="4CE9A5BB" w14:textId="77777777">
        <w:trPr>
          <w:tblHeader/>
        </w:trPr>
        <w:tc>
          <w:tcPr>
            <w:tcW w:w="432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23F5DFC1" w14:textId="77777777" w:rsidR="005732E2" w:rsidRDefault="00000000" w:rsidP="00B765FB">
            <w:pPr>
              <w:jc w:val="both"/>
            </w:pPr>
            <w:r>
              <w:rPr>
                <w:b/>
                <w:bCs/>
                <w:color w:val="FFFFFF"/>
                <w:sz w:val="20"/>
                <w:szCs w:val="20"/>
              </w:rPr>
              <w:t>Parameter</w:t>
            </w:r>
          </w:p>
        </w:tc>
        <w:tc>
          <w:tcPr>
            <w:tcW w:w="288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2A95B912" w14:textId="77777777" w:rsidR="005732E2" w:rsidRDefault="00000000" w:rsidP="00B765FB">
            <w:pPr>
              <w:jc w:val="both"/>
            </w:pPr>
            <w:r>
              <w:rPr>
                <w:b/>
                <w:bCs/>
                <w:color w:val="FFFFFF"/>
                <w:sz w:val="20"/>
                <w:szCs w:val="20"/>
              </w:rPr>
              <w:t>Value</w:t>
            </w:r>
          </w:p>
        </w:tc>
      </w:tr>
      <w:tr w:rsidR="005732E2" w14:paraId="23C52FAD"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A87C7A2" w14:textId="77777777" w:rsidR="005732E2" w:rsidRDefault="00000000" w:rsidP="00B765FB">
            <w:pPr>
              <w:jc w:val="both"/>
            </w:pPr>
            <w:r>
              <w:rPr>
                <w:color w:val="000000"/>
                <w:sz w:val="20"/>
                <w:szCs w:val="20"/>
              </w:rPr>
              <w:t>Average Monthly Diabetes Medicine Cost</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06025D62" w14:textId="77777777" w:rsidR="005732E2" w:rsidRDefault="00000000" w:rsidP="00B765FB">
            <w:pPr>
              <w:jc w:val="both"/>
            </w:pPr>
            <w:r>
              <w:rPr>
                <w:color w:val="000000"/>
                <w:sz w:val="20"/>
                <w:szCs w:val="20"/>
              </w:rPr>
              <w:t>₹650</w:t>
            </w:r>
          </w:p>
        </w:tc>
      </w:tr>
      <w:tr w:rsidR="005732E2" w14:paraId="7641C1B8"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5EC2C6BA" w14:textId="77777777" w:rsidR="005732E2" w:rsidRDefault="00000000" w:rsidP="00B765FB">
            <w:pPr>
              <w:jc w:val="both"/>
            </w:pPr>
            <w:r>
              <w:rPr>
                <w:color w:val="000000"/>
                <w:sz w:val="20"/>
                <w:szCs w:val="20"/>
              </w:rPr>
              <w:t>Annual Revenue Per Patient</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14EC753" w14:textId="77777777" w:rsidR="005732E2" w:rsidRDefault="00000000" w:rsidP="00B765FB">
            <w:pPr>
              <w:jc w:val="both"/>
            </w:pPr>
            <w:r>
              <w:rPr>
                <w:color w:val="000000"/>
                <w:sz w:val="20"/>
                <w:szCs w:val="20"/>
              </w:rPr>
              <w:t>₹7,800 (= ₹650 × 12)</w:t>
            </w:r>
          </w:p>
        </w:tc>
      </w:tr>
      <w:tr w:rsidR="005732E2" w14:paraId="482F7D7C"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53B1B8BD" w14:textId="77777777" w:rsidR="005732E2" w:rsidRDefault="00000000" w:rsidP="00B765FB">
            <w:pPr>
              <w:jc w:val="both"/>
            </w:pPr>
            <w:r>
              <w:rPr>
                <w:color w:val="000000"/>
                <w:sz w:val="20"/>
                <w:szCs w:val="20"/>
              </w:rPr>
              <w:t>Total Patients Treated</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6408FF1A" w14:textId="77777777" w:rsidR="005732E2" w:rsidRDefault="00000000" w:rsidP="00B765FB">
            <w:pPr>
              <w:jc w:val="both"/>
            </w:pPr>
            <w:r>
              <w:rPr>
                <w:color w:val="000000"/>
                <w:sz w:val="20"/>
                <w:szCs w:val="20"/>
              </w:rPr>
              <w:t>2,388</w:t>
            </w:r>
          </w:p>
        </w:tc>
      </w:tr>
      <w:tr w:rsidR="005732E2" w14:paraId="5F43E8A1"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60EDCD3F" w14:textId="77777777" w:rsidR="005732E2" w:rsidRDefault="00000000" w:rsidP="00B765FB">
            <w:pPr>
              <w:jc w:val="both"/>
            </w:pPr>
            <w:r>
              <w:rPr>
                <w:color w:val="000000"/>
                <w:sz w:val="20"/>
                <w:szCs w:val="20"/>
              </w:rPr>
              <w:t>Total Annual Revenue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1DE7C381" w14:textId="77777777" w:rsidR="005732E2" w:rsidRDefault="00000000" w:rsidP="00B765FB">
            <w:pPr>
              <w:jc w:val="both"/>
            </w:pPr>
            <w:r>
              <w:rPr>
                <w:color w:val="000000"/>
                <w:sz w:val="20"/>
                <w:szCs w:val="20"/>
              </w:rPr>
              <w:t>₹1,86,26,400</w:t>
            </w:r>
          </w:p>
        </w:tc>
      </w:tr>
      <w:tr w:rsidR="005732E2" w14:paraId="7AA86970"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B404E3E" w14:textId="77777777" w:rsidR="005732E2" w:rsidRDefault="00000000" w:rsidP="00B765FB">
            <w:pPr>
              <w:jc w:val="both"/>
            </w:pPr>
            <w:r>
              <w:rPr>
                <w:color w:val="000000"/>
                <w:sz w:val="20"/>
                <w:szCs w:val="20"/>
              </w:rPr>
              <w:t>Revenue (₹ Crore)</w:t>
            </w:r>
          </w:p>
        </w:tc>
        <w:tc>
          <w:tcPr>
            <w:tcW w:w="28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D066D9F" w14:textId="77777777" w:rsidR="005732E2" w:rsidRDefault="00000000" w:rsidP="00B765FB">
            <w:pPr>
              <w:jc w:val="both"/>
            </w:pPr>
            <w:r>
              <w:rPr>
                <w:b/>
                <w:bCs/>
                <w:color w:val="000000"/>
                <w:sz w:val="20"/>
                <w:szCs w:val="20"/>
              </w:rPr>
              <w:t>₹1.86 Crore</w:t>
            </w:r>
          </w:p>
        </w:tc>
      </w:tr>
    </w:tbl>
    <w:p w14:paraId="29E1F77B" w14:textId="77777777" w:rsidR="005732E2" w:rsidRDefault="005732E2" w:rsidP="00B765FB">
      <w:pPr>
        <w:spacing w:after="120"/>
        <w:jc w:val="both"/>
      </w:pPr>
    </w:p>
    <w:p w14:paraId="5CE00505" w14:textId="77777777" w:rsidR="005732E2" w:rsidRDefault="00000000" w:rsidP="00B765FB">
      <w:pPr>
        <w:spacing w:before="60" w:after="100"/>
        <w:jc w:val="both"/>
      </w:pPr>
      <w:r>
        <w:rPr>
          <w:color w:val="000000"/>
        </w:rPr>
        <w:t xml:space="preserve">The average monthly diabetes medicine cost of ₹650 is derived from NPPA (National Pharmaceutical Pricing Authority) benchmarks and IMS Health market data for oral </w:t>
      </w:r>
      <w:proofErr w:type="spellStart"/>
      <w:r>
        <w:rPr>
          <w:color w:val="000000"/>
        </w:rPr>
        <w:t>hypoglycaemic</w:t>
      </w:r>
      <w:proofErr w:type="spellEnd"/>
      <w:r>
        <w:rPr>
          <w:color w:val="000000"/>
        </w:rPr>
        <w:t xml:space="preserve"> agents such as Metformin, Glipizide, and combination formulations — which represent the core of type-2 diabetes pharmacotherapy in India.</w:t>
      </w:r>
    </w:p>
    <w:p w14:paraId="192D7AC5" w14:textId="77777777" w:rsidR="005732E2" w:rsidRDefault="005732E2" w:rsidP="00B765FB">
      <w:pPr>
        <w:spacing w:after="120"/>
        <w:jc w:val="both"/>
      </w:pPr>
    </w:p>
    <w:p w14:paraId="00CB84E7" w14:textId="77777777" w:rsidR="005732E2" w:rsidRDefault="00000000" w:rsidP="00B765FB">
      <w:pPr>
        <w:spacing w:before="60" w:after="100"/>
        <w:jc w:val="both"/>
      </w:pPr>
      <w:r>
        <w:rPr>
          <w:color w:val="000000"/>
        </w:rPr>
        <w:t>It is important to note that this model represents a single-year, conservative revenue estimate. In practice, diabetes is a chronic condition requiring long-term pharmacological management. Patients who begin treatment typically remain on medication for multiple years, implying a significant lifetime customer value for pharmaceutical companies.</w:t>
      </w:r>
    </w:p>
    <w:p w14:paraId="1AB64146" w14:textId="77777777" w:rsidR="005732E2" w:rsidRDefault="005732E2" w:rsidP="00B765FB">
      <w:pPr>
        <w:spacing w:after="120"/>
        <w:jc w:val="both"/>
      </w:pPr>
    </w:p>
    <w:p w14:paraId="5CF2EC7A" w14:textId="35BEFCE8" w:rsidR="005732E2" w:rsidRDefault="00B765FB" w:rsidP="00B765FB">
      <w:pPr>
        <w:spacing w:before="200" w:after="120"/>
        <w:jc w:val="both"/>
      </w:pPr>
      <w:r>
        <w:rPr>
          <w:b/>
          <w:bCs/>
          <w:color w:val="2E75B6"/>
          <w:sz w:val="24"/>
          <w:szCs w:val="24"/>
        </w:rPr>
        <w:t>4.2 Revenue Calculation</w:t>
      </w:r>
    </w:p>
    <w:p w14:paraId="6E66E5B0" w14:textId="77777777" w:rsidR="005732E2" w:rsidRDefault="00000000" w:rsidP="00B765FB">
      <w:pPr>
        <w:pBdr>
          <w:left w:val="single" w:sz="12" w:space="8" w:color="2E75B6"/>
        </w:pBdr>
        <w:shd w:val="clear" w:color="auto" w:fill="EBF5FB"/>
        <w:spacing w:before="80" w:after="80"/>
        <w:ind w:left="360" w:right="360"/>
        <w:jc w:val="both"/>
      </w:pPr>
      <w:r>
        <w:rPr>
          <w:b/>
          <w:bCs/>
          <w:color w:val="1F4E79"/>
        </w:rPr>
        <w:t>Annual Revenue = Annual Revenue per Patient × Total Patients Treated</w:t>
      </w:r>
    </w:p>
    <w:p w14:paraId="7C867F87" w14:textId="3F9EA94D" w:rsidR="005732E2" w:rsidRDefault="00000000" w:rsidP="00B765FB">
      <w:pPr>
        <w:spacing w:before="40" w:after="120"/>
        <w:ind w:left="360" w:right="360"/>
        <w:jc w:val="both"/>
      </w:pPr>
      <w:r>
        <w:rPr>
          <w:color w:val="000000"/>
        </w:rPr>
        <w:t>= ₹7,800 × 2,388 = ₹1,86,26,</w:t>
      </w:r>
      <w:r w:rsidR="00B765FB">
        <w:rPr>
          <w:color w:val="000000"/>
        </w:rPr>
        <w:t>400 (</w:t>
      </w:r>
      <w:r>
        <w:rPr>
          <w:color w:val="000000"/>
        </w:rPr>
        <w:t>approximately ₹1.86 Crore)</w:t>
      </w:r>
    </w:p>
    <w:p w14:paraId="4ED76224" w14:textId="77777777" w:rsidR="005732E2" w:rsidRDefault="00000000" w:rsidP="00B765FB">
      <w:pPr>
        <w:pBdr>
          <w:bottom w:val="single" w:sz="6" w:space="4" w:color="2E75B6"/>
        </w:pBdr>
        <w:spacing w:before="320" w:after="120"/>
        <w:jc w:val="both"/>
      </w:pPr>
      <w:r>
        <w:rPr>
          <w:b/>
          <w:bCs/>
          <w:color w:val="1F4E79"/>
          <w:sz w:val="28"/>
          <w:szCs w:val="28"/>
        </w:rPr>
        <w:t>Section 5 — ROI Analysis</w:t>
      </w:r>
    </w:p>
    <w:p w14:paraId="37DCE1E9" w14:textId="77777777" w:rsidR="005732E2" w:rsidRDefault="00000000" w:rsidP="00B765FB">
      <w:pPr>
        <w:spacing w:before="60" w:after="100"/>
        <w:jc w:val="both"/>
      </w:pPr>
      <w:r>
        <w:rPr>
          <w:color w:val="000000"/>
        </w:rPr>
        <w:t xml:space="preserve">Return on Investment (ROI) analysis enables pharmaceutical companies to evaluate the commercial viability of healthcare campaigns and compare them against alternative marketing interventions. In </w:t>
      </w:r>
      <w:r>
        <w:rPr>
          <w:color w:val="000000"/>
        </w:rPr>
        <w:lastRenderedPageBreak/>
        <w:t>this analysis, ROI is calculated as the ratio of profit generated (revenue minus campaign cost) to the total investment.</w:t>
      </w:r>
    </w:p>
    <w:p w14:paraId="2FD37186" w14:textId="77777777" w:rsidR="005732E2" w:rsidRDefault="005732E2" w:rsidP="00B765FB">
      <w:pPr>
        <w:spacing w:after="120"/>
        <w:jc w:val="both"/>
      </w:pPr>
    </w:p>
    <w:p w14:paraId="5DB6FF43" w14:textId="40031A5F" w:rsidR="005732E2" w:rsidRDefault="00B765FB" w:rsidP="00B765FB">
      <w:pPr>
        <w:spacing w:before="200" w:after="120"/>
        <w:jc w:val="both"/>
      </w:pPr>
      <w:r>
        <w:rPr>
          <w:b/>
          <w:bCs/>
          <w:color w:val="2E75B6"/>
          <w:sz w:val="24"/>
          <w:szCs w:val="24"/>
        </w:rPr>
        <w:t>5.1 ROI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520"/>
        <w:gridCol w:w="2520"/>
      </w:tblGrid>
      <w:tr w:rsidR="005732E2" w14:paraId="387439BB" w14:textId="77777777">
        <w:trPr>
          <w:tblHeader/>
        </w:trPr>
        <w:tc>
          <w:tcPr>
            <w:tcW w:w="432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506BA885" w14:textId="77777777" w:rsidR="005732E2" w:rsidRDefault="00000000" w:rsidP="00B765FB">
            <w:pPr>
              <w:jc w:val="both"/>
            </w:pPr>
            <w:r>
              <w:rPr>
                <w:b/>
                <w:bCs/>
                <w:color w:val="FFFFFF"/>
                <w:sz w:val="20"/>
                <w:szCs w:val="20"/>
              </w:rPr>
              <w:t>Metric</w:t>
            </w:r>
          </w:p>
        </w:tc>
        <w:tc>
          <w:tcPr>
            <w:tcW w:w="252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4D2CE7D5" w14:textId="77777777" w:rsidR="005732E2" w:rsidRDefault="00000000" w:rsidP="00B765FB">
            <w:pPr>
              <w:jc w:val="both"/>
            </w:pPr>
            <w:r>
              <w:rPr>
                <w:b/>
                <w:bCs/>
                <w:color w:val="FFFFFF"/>
                <w:sz w:val="20"/>
                <w:szCs w:val="20"/>
              </w:rPr>
              <w:t>Amount</w:t>
            </w:r>
          </w:p>
        </w:tc>
        <w:tc>
          <w:tcPr>
            <w:tcW w:w="252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60" w:type="dxa"/>
              <w:bottom w:w="80" w:type="dxa"/>
              <w:right w:w="160" w:type="dxa"/>
            </w:tcMar>
            <w:vAlign w:val="center"/>
          </w:tcPr>
          <w:p w14:paraId="4EC6B756" w14:textId="77777777" w:rsidR="005732E2" w:rsidRDefault="00000000" w:rsidP="00B765FB">
            <w:pPr>
              <w:jc w:val="both"/>
            </w:pPr>
            <w:r>
              <w:rPr>
                <w:b/>
                <w:bCs/>
                <w:color w:val="FFFFFF"/>
                <w:sz w:val="20"/>
                <w:szCs w:val="20"/>
              </w:rPr>
              <w:t>Notes</w:t>
            </w:r>
          </w:p>
        </w:tc>
      </w:tr>
      <w:tr w:rsidR="005732E2" w14:paraId="10B90CF7"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5DD78C74" w14:textId="77777777" w:rsidR="005732E2" w:rsidRDefault="00000000" w:rsidP="00B765FB">
            <w:pPr>
              <w:jc w:val="both"/>
            </w:pPr>
            <w:r>
              <w:rPr>
                <w:color w:val="000000"/>
                <w:sz w:val="20"/>
                <w:szCs w:val="20"/>
              </w:rPr>
              <w:t>Total Campaign Cost</w:t>
            </w:r>
          </w:p>
        </w:tc>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31342FF5" w14:textId="77777777" w:rsidR="005732E2" w:rsidRDefault="00000000" w:rsidP="00B765FB">
            <w:pPr>
              <w:jc w:val="both"/>
            </w:pPr>
            <w:r>
              <w:rPr>
                <w:color w:val="000000"/>
                <w:sz w:val="20"/>
                <w:szCs w:val="20"/>
              </w:rPr>
              <w:t>₹20,18,000</w:t>
            </w:r>
          </w:p>
        </w:tc>
        <w:tc>
          <w:tcPr>
            <w:tcW w:w="25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A20A079" w14:textId="77777777" w:rsidR="005732E2" w:rsidRDefault="00000000" w:rsidP="00B765FB">
            <w:pPr>
              <w:jc w:val="both"/>
            </w:pPr>
            <w:r>
              <w:rPr>
                <w:color w:val="000000"/>
                <w:sz w:val="20"/>
                <w:szCs w:val="20"/>
              </w:rPr>
              <w:t>All 20 cities combined</w:t>
            </w:r>
          </w:p>
        </w:tc>
      </w:tr>
      <w:tr w:rsidR="005732E2" w14:paraId="20BC8130"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26330C64" w14:textId="77777777" w:rsidR="005732E2" w:rsidRDefault="00000000" w:rsidP="00B765FB">
            <w:pPr>
              <w:jc w:val="both"/>
            </w:pPr>
            <w:r>
              <w:rPr>
                <w:color w:val="000000"/>
                <w:sz w:val="20"/>
                <w:szCs w:val="20"/>
              </w:rPr>
              <w:t>Total Revenue Generated</w:t>
            </w:r>
          </w:p>
        </w:tc>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0F6F15B3" w14:textId="77777777" w:rsidR="005732E2" w:rsidRDefault="00000000" w:rsidP="00B765FB">
            <w:pPr>
              <w:jc w:val="both"/>
            </w:pPr>
            <w:r>
              <w:rPr>
                <w:color w:val="000000"/>
                <w:sz w:val="20"/>
                <w:szCs w:val="20"/>
              </w:rPr>
              <w:t>₹1,86,26,400</w:t>
            </w:r>
          </w:p>
        </w:tc>
        <w:tc>
          <w:tcPr>
            <w:tcW w:w="25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3A01E70" w14:textId="77777777" w:rsidR="005732E2" w:rsidRDefault="00000000" w:rsidP="00B765FB">
            <w:pPr>
              <w:jc w:val="both"/>
            </w:pPr>
            <w:r>
              <w:rPr>
                <w:color w:val="000000"/>
                <w:sz w:val="20"/>
                <w:szCs w:val="20"/>
              </w:rPr>
              <w:t>Year 1 annual revenue</w:t>
            </w:r>
          </w:p>
        </w:tc>
      </w:tr>
      <w:tr w:rsidR="005732E2" w14:paraId="27FE83A0"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7AB4C163" w14:textId="77777777" w:rsidR="005732E2" w:rsidRDefault="00000000" w:rsidP="00B765FB">
            <w:pPr>
              <w:jc w:val="both"/>
            </w:pPr>
            <w:r>
              <w:rPr>
                <w:color w:val="000000"/>
                <w:sz w:val="20"/>
                <w:szCs w:val="20"/>
              </w:rPr>
              <w:t>Profit</w:t>
            </w:r>
          </w:p>
        </w:tc>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036BE097" w14:textId="77777777" w:rsidR="005732E2" w:rsidRDefault="00000000" w:rsidP="00B765FB">
            <w:pPr>
              <w:jc w:val="both"/>
            </w:pPr>
            <w:r>
              <w:rPr>
                <w:color w:val="000000"/>
                <w:sz w:val="20"/>
                <w:szCs w:val="20"/>
              </w:rPr>
              <w:t>₹1,66,08,400</w:t>
            </w:r>
          </w:p>
        </w:tc>
        <w:tc>
          <w:tcPr>
            <w:tcW w:w="25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5C93AA70" w14:textId="77777777" w:rsidR="005732E2" w:rsidRDefault="00000000" w:rsidP="00B765FB">
            <w:pPr>
              <w:jc w:val="both"/>
            </w:pPr>
            <w:r>
              <w:rPr>
                <w:color w:val="000000"/>
                <w:sz w:val="20"/>
                <w:szCs w:val="20"/>
              </w:rPr>
              <w:t>Revenue − Cost</w:t>
            </w:r>
          </w:p>
        </w:tc>
      </w:tr>
      <w:tr w:rsidR="005732E2" w14:paraId="5C93D41F"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6A0C4B0B" w14:textId="77777777" w:rsidR="005732E2" w:rsidRDefault="00000000" w:rsidP="00B765FB">
            <w:pPr>
              <w:jc w:val="both"/>
            </w:pPr>
            <w:r>
              <w:rPr>
                <w:b/>
                <w:bCs/>
                <w:color w:val="000000"/>
                <w:sz w:val="20"/>
                <w:szCs w:val="20"/>
              </w:rPr>
              <w:t>ROI %</w:t>
            </w:r>
          </w:p>
        </w:tc>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4A7CE7E" w14:textId="77777777" w:rsidR="005732E2" w:rsidRDefault="00000000" w:rsidP="00B765FB">
            <w:pPr>
              <w:jc w:val="both"/>
            </w:pPr>
            <w:r>
              <w:rPr>
                <w:b/>
                <w:bCs/>
                <w:color w:val="000000"/>
                <w:sz w:val="20"/>
                <w:szCs w:val="20"/>
              </w:rPr>
              <w:t>823%</w:t>
            </w:r>
          </w:p>
        </w:tc>
        <w:tc>
          <w:tcPr>
            <w:tcW w:w="25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64A9AE62" w14:textId="77777777" w:rsidR="005732E2" w:rsidRDefault="00000000" w:rsidP="00B765FB">
            <w:pPr>
              <w:jc w:val="both"/>
            </w:pPr>
            <w:r>
              <w:rPr>
                <w:color w:val="000000"/>
                <w:sz w:val="20"/>
                <w:szCs w:val="20"/>
              </w:rPr>
              <w:t>(Profit / Cost) × 100</w:t>
            </w:r>
          </w:p>
        </w:tc>
      </w:tr>
      <w:tr w:rsidR="005732E2" w14:paraId="0B0242CC"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2E3D8008" w14:textId="77777777" w:rsidR="005732E2" w:rsidRDefault="00000000" w:rsidP="00B765FB">
            <w:pPr>
              <w:jc w:val="both"/>
            </w:pPr>
            <w:r>
              <w:rPr>
                <w:color w:val="000000"/>
                <w:sz w:val="20"/>
                <w:szCs w:val="20"/>
              </w:rPr>
              <w:t>Revenue-to-Cost Ratio</w:t>
            </w:r>
          </w:p>
        </w:tc>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0865736C" w14:textId="77777777" w:rsidR="005732E2" w:rsidRDefault="00000000" w:rsidP="00B765FB">
            <w:pPr>
              <w:jc w:val="both"/>
            </w:pPr>
            <w:r>
              <w:rPr>
                <w:color w:val="000000"/>
                <w:sz w:val="20"/>
                <w:szCs w:val="20"/>
              </w:rPr>
              <w:t>9.23×</w:t>
            </w:r>
          </w:p>
        </w:tc>
        <w:tc>
          <w:tcPr>
            <w:tcW w:w="25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3709B8C6" w14:textId="77777777" w:rsidR="005732E2" w:rsidRDefault="00000000" w:rsidP="00B765FB">
            <w:pPr>
              <w:jc w:val="both"/>
            </w:pPr>
            <w:r>
              <w:rPr>
                <w:color w:val="000000"/>
                <w:sz w:val="20"/>
                <w:szCs w:val="20"/>
              </w:rPr>
              <w:t>Revenue ÷ Cost</w:t>
            </w:r>
          </w:p>
        </w:tc>
      </w:tr>
      <w:tr w:rsidR="005732E2" w14:paraId="51F122A3" w14:textId="77777777">
        <w:tc>
          <w:tcPr>
            <w:tcW w:w="43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70C94ECB" w14:textId="77777777" w:rsidR="005732E2" w:rsidRDefault="00000000" w:rsidP="00B765FB">
            <w:pPr>
              <w:jc w:val="both"/>
            </w:pPr>
            <w:r>
              <w:rPr>
                <w:color w:val="000000"/>
                <w:sz w:val="20"/>
                <w:szCs w:val="20"/>
              </w:rPr>
              <w:t>Break-Even Patients Needed</w:t>
            </w:r>
          </w:p>
        </w:tc>
        <w:tc>
          <w:tcPr>
            <w:tcW w:w="25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60" w:type="dxa"/>
              <w:bottom w:w="80" w:type="dxa"/>
              <w:right w:w="160" w:type="dxa"/>
            </w:tcMar>
            <w:vAlign w:val="center"/>
          </w:tcPr>
          <w:p w14:paraId="75E0B4E8" w14:textId="77777777" w:rsidR="005732E2" w:rsidRDefault="00000000" w:rsidP="00B765FB">
            <w:pPr>
              <w:jc w:val="both"/>
            </w:pPr>
            <w:r>
              <w:rPr>
                <w:color w:val="000000"/>
                <w:sz w:val="20"/>
                <w:szCs w:val="20"/>
              </w:rPr>
              <w:t>259 patients</w:t>
            </w:r>
          </w:p>
        </w:tc>
        <w:tc>
          <w:tcPr>
            <w:tcW w:w="2520" w:type="dxa"/>
            <w:tcBorders>
              <w:top w:val="single" w:sz="1" w:space="0" w:color="C0C0C0"/>
              <w:left w:val="single" w:sz="1" w:space="0" w:color="C0C0C0"/>
              <w:bottom w:val="single" w:sz="1" w:space="0" w:color="C0C0C0"/>
              <w:right w:val="single" w:sz="1" w:space="0" w:color="C0C0C0"/>
            </w:tcBorders>
            <w:shd w:val="clear" w:color="auto" w:fill="F8F9FA"/>
            <w:tcMar>
              <w:top w:w="80" w:type="dxa"/>
              <w:left w:w="160" w:type="dxa"/>
              <w:bottom w:w="80" w:type="dxa"/>
              <w:right w:w="160" w:type="dxa"/>
            </w:tcMar>
            <w:vAlign w:val="center"/>
          </w:tcPr>
          <w:p w14:paraId="48892F87" w14:textId="77777777" w:rsidR="005732E2" w:rsidRDefault="00000000" w:rsidP="00B765FB">
            <w:pPr>
              <w:jc w:val="both"/>
            </w:pPr>
            <w:r>
              <w:rPr>
                <w:color w:val="000000"/>
                <w:sz w:val="20"/>
                <w:szCs w:val="20"/>
              </w:rPr>
              <w:t>Cost ÷ Annual Rev/Patient</w:t>
            </w:r>
          </w:p>
        </w:tc>
      </w:tr>
    </w:tbl>
    <w:p w14:paraId="2ACAA3D4" w14:textId="77777777" w:rsidR="005732E2" w:rsidRDefault="005732E2" w:rsidP="00B765FB">
      <w:pPr>
        <w:spacing w:after="120"/>
        <w:jc w:val="both"/>
      </w:pPr>
    </w:p>
    <w:p w14:paraId="3AFBC2F9" w14:textId="6BA2F8B1" w:rsidR="005732E2" w:rsidRDefault="00B765FB" w:rsidP="00B765FB">
      <w:pPr>
        <w:spacing w:before="200" w:after="120"/>
        <w:jc w:val="both"/>
      </w:pPr>
      <w:r>
        <w:rPr>
          <w:b/>
          <w:bCs/>
          <w:color w:val="2E75B6"/>
          <w:sz w:val="24"/>
          <w:szCs w:val="24"/>
        </w:rPr>
        <w:t>5.2 ROI Interpretation</w:t>
      </w:r>
    </w:p>
    <w:p w14:paraId="6773A4D2" w14:textId="77777777" w:rsidR="005732E2" w:rsidRDefault="00000000" w:rsidP="00B765FB">
      <w:pPr>
        <w:spacing w:before="60" w:after="100"/>
        <w:jc w:val="both"/>
      </w:pPr>
      <w:r>
        <w:rPr>
          <w:color w:val="000000"/>
        </w:rPr>
        <w:t>The campaign delivers an exceptionally strong ROI of 823%, generating ₹9.23 in revenue for every ₹1.00 invested. This is driven by the relatively low cost of mass screening camps compared to the long-term commercial value of a chronic disease patient on sustained medication.</w:t>
      </w:r>
    </w:p>
    <w:p w14:paraId="5A86E860" w14:textId="77777777" w:rsidR="005732E2" w:rsidRDefault="005732E2" w:rsidP="00B765FB">
      <w:pPr>
        <w:spacing w:after="120"/>
        <w:jc w:val="both"/>
      </w:pPr>
    </w:p>
    <w:p w14:paraId="048D8DC9" w14:textId="77777777" w:rsidR="005732E2" w:rsidRDefault="00000000" w:rsidP="00B765FB">
      <w:pPr>
        <w:spacing w:before="60" w:after="100"/>
        <w:jc w:val="both"/>
      </w:pPr>
      <w:r>
        <w:rPr>
          <w:color w:val="000000"/>
        </w:rPr>
        <w:t>Critically, the break-even threshold is only 259 treated patients — against an actual 2,388 patients treated — confirming that the campaign exceeds its commercial break-even point by nearly 9.2 times. This validates the financial sustainability of the campaign model.</w:t>
      </w:r>
    </w:p>
    <w:p w14:paraId="45850281" w14:textId="77777777" w:rsidR="005732E2" w:rsidRDefault="005732E2" w:rsidP="00B765FB">
      <w:pPr>
        <w:spacing w:after="120"/>
        <w:jc w:val="both"/>
      </w:pPr>
    </w:p>
    <w:p w14:paraId="1ABDE855" w14:textId="77777777" w:rsidR="005732E2" w:rsidRDefault="00000000" w:rsidP="00B765FB">
      <w:pPr>
        <w:spacing w:before="60" w:after="100"/>
        <w:jc w:val="both"/>
      </w:pPr>
      <w:r>
        <w:rPr>
          <w:color w:val="000000"/>
        </w:rPr>
        <w:t>From a public health perspective, the campaign's ROI should also be assessed in terms of Disability-Adjusted Life Years (DALYs) averted through early diagnosis and treatment. While this analysis focusses on commercial metrics, the dual return — both societal and financial — strengthens the case for sustained investment in awareness campaigns by pharmaceutical companies.</w:t>
      </w:r>
    </w:p>
    <w:p w14:paraId="0286B3B7" w14:textId="77777777" w:rsidR="005732E2" w:rsidRDefault="00000000" w:rsidP="00B765FB">
      <w:pPr>
        <w:pBdr>
          <w:bottom w:val="single" w:sz="6" w:space="4" w:color="2E75B6"/>
        </w:pBdr>
        <w:spacing w:before="320" w:after="120"/>
        <w:jc w:val="both"/>
      </w:pPr>
      <w:r>
        <w:rPr>
          <w:b/>
          <w:bCs/>
          <w:color w:val="1F4E79"/>
          <w:sz w:val="28"/>
          <w:szCs w:val="28"/>
        </w:rPr>
        <w:t>Section 6 — Key Insights &amp; Recommendations</w:t>
      </w:r>
    </w:p>
    <w:p w14:paraId="04A914C1" w14:textId="31F991C9" w:rsidR="005732E2" w:rsidRDefault="00B765FB" w:rsidP="00B765FB">
      <w:pPr>
        <w:spacing w:before="200" w:after="120"/>
        <w:jc w:val="both"/>
      </w:pPr>
      <w:r>
        <w:rPr>
          <w:b/>
          <w:bCs/>
          <w:color w:val="2E75B6"/>
          <w:sz w:val="24"/>
          <w:szCs w:val="24"/>
        </w:rPr>
        <w:t>6.1 Key Insights</w:t>
      </w:r>
    </w:p>
    <w:p w14:paraId="658DD61A" w14:textId="77777777" w:rsidR="005732E2" w:rsidRDefault="00000000" w:rsidP="00B765FB">
      <w:pPr>
        <w:pStyle w:val="ListParagraph"/>
        <w:numPr>
          <w:ilvl w:val="0"/>
          <w:numId w:val="2"/>
        </w:numPr>
        <w:spacing w:before="60" w:after="80"/>
        <w:jc w:val="both"/>
      </w:pPr>
      <w:r>
        <w:rPr>
          <w:b/>
          <w:bCs/>
          <w:color w:val="1F4E79"/>
        </w:rPr>
        <w:t xml:space="preserve">High-Reach Cities: </w:t>
      </w:r>
      <w:r>
        <w:rPr>
          <w:color w:val="000000"/>
        </w:rPr>
        <w:t>Metro cities drove the highest absolute campaign reach</w:t>
      </w:r>
    </w:p>
    <w:p w14:paraId="0D5B97CE" w14:textId="0388FDE7" w:rsidR="005732E2" w:rsidRDefault="00000000" w:rsidP="00B765FB">
      <w:pPr>
        <w:pStyle w:val="ListParagraph"/>
        <w:numPr>
          <w:ilvl w:val="0"/>
          <w:numId w:val="2"/>
        </w:numPr>
        <w:spacing w:before="60" w:after="80"/>
        <w:jc w:val="both"/>
      </w:pPr>
      <w:r>
        <w:rPr>
          <w:color w:val="000000"/>
        </w:rPr>
        <w:t xml:space="preserve">Delhi (10,000 reached), Mumbai (9,000), and Bangalore (8,500) topped campaign reach metrics. However, cost-per-patient-treated was more </w:t>
      </w:r>
      <w:r w:rsidR="00B765FB">
        <w:rPr>
          <w:color w:val="000000"/>
        </w:rPr>
        <w:t>favorable</w:t>
      </w:r>
      <w:r>
        <w:rPr>
          <w:color w:val="000000"/>
        </w:rPr>
        <w:t xml:space="preserve"> in tier-2 cities where campaign infrastructure costs were significantly lower.</w:t>
      </w:r>
    </w:p>
    <w:p w14:paraId="0DDB6167" w14:textId="77777777" w:rsidR="005732E2" w:rsidRDefault="00000000" w:rsidP="00B765FB">
      <w:pPr>
        <w:pStyle w:val="ListParagraph"/>
        <w:numPr>
          <w:ilvl w:val="0"/>
          <w:numId w:val="2"/>
        </w:numPr>
        <w:spacing w:before="60" w:after="80"/>
        <w:jc w:val="both"/>
      </w:pPr>
      <w:r>
        <w:rPr>
          <w:b/>
          <w:bCs/>
          <w:color w:val="1F4E79"/>
        </w:rPr>
        <w:t xml:space="preserve">Screening Effectiveness: </w:t>
      </w:r>
      <w:r>
        <w:rPr>
          <w:color w:val="000000"/>
        </w:rPr>
        <w:t>Screening camps significantly increased diagnosis rates</w:t>
      </w:r>
    </w:p>
    <w:p w14:paraId="34345C4C" w14:textId="77777777" w:rsidR="005732E2" w:rsidRDefault="00000000" w:rsidP="00B765FB">
      <w:pPr>
        <w:pStyle w:val="ListParagraph"/>
        <w:numPr>
          <w:ilvl w:val="0"/>
          <w:numId w:val="2"/>
        </w:numPr>
        <w:spacing w:before="60" w:after="80"/>
        <w:jc w:val="both"/>
      </w:pPr>
      <w:r>
        <w:rPr>
          <w:color w:val="000000"/>
        </w:rPr>
        <w:t>A 17.2% diagnosis rate among screened individuals confirms that campaign-associated screening programs successfully identify high-risk individuals who would otherwise remain undetected. This validates targeted screening as a public health tool.</w:t>
      </w:r>
    </w:p>
    <w:p w14:paraId="57C5AC12" w14:textId="77777777" w:rsidR="005732E2" w:rsidRDefault="00000000" w:rsidP="00B765FB">
      <w:pPr>
        <w:pStyle w:val="ListParagraph"/>
        <w:numPr>
          <w:ilvl w:val="0"/>
          <w:numId w:val="2"/>
        </w:numPr>
        <w:spacing w:before="60" w:after="80"/>
        <w:jc w:val="both"/>
      </w:pPr>
      <w:r>
        <w:rPr>
          <w:b/>
          <w:bCs/>
          <w:color w:val="1F4E79"/>
        </w:rPr>
        <w:t xml:space="preserve">Treatment Adoption: </w:t>
      </w:r>
      <w:r>
        <w:rPr>
          <w:color w:val="000000"/>
        </w:rPr>
        <w:t>Treatment conversion rate of 61.8% is commercially strong</w:t>
      </w:r>
    </w:p>
    <w:p w14:paraId="55670DEC" w14:textId="77777777" w:rsidR="005732E2" w:rsidRDefault="00000000" w:rsidP="00B765FB">
      <w:pPr>
        <w:pStyle w:val="ListParagraph"/>
        <w:numPr>
          <w:ilvl w:val="0"/>
          <w:numId w:val="2"/>
        </w:numPr>
        <w:spacing w:before="60" w:after="80"/>
        <w:jc w:val="both"/>
      </w:pPr>
      <w:r>
        <w:rPr>
          <w:color w:val="000000"/>
        </w:rPr>
        <w:lastRenderedPageBreak/>
        <w:t xml:space="preserve">More than 6 </w:t>
      </w:r>
      <w:proofErr w:type="gramStart"/>
      <w:r>
        <w:rPr>
          <w:color w:val="000000"/>
        </w:rPr>
        <w:t>in</w:t>
      </w:r>
      <w:proofErr w:type="gramEnd"/>
      <w:r>
        <w:rPr>
          <w:color w:val="000000"/>
        </w:rPr>
        <w:t xml:space="preserve"> 10 diagnosed patients proceeded to treatment initiation — a strong indicator that patient counselling, physician linkages, and medicine access programmes embedded in the campaign were effective.</w:t>
      </w:r>
    </w:p>
    <w:p w14:paraId="6D8DF956" w14:textId="77777777" w:rsidR="005732E2" w:rsidRDefault="00000000" w:rsidP="00B765FB">
      <w:pPr>
        <w:pStyle w:val="ListParagraph"/>
        <w:numPr>
          <w:ilvl w:val="0"/>
          <w:numId w:val="2"/>
        </w:numPr>
        <w:spacing w:before="60" w:after="80"/>
        <w:jc w:val="both"/>
      </w:pPr>
      <w:r>
        <w:rPr>
          <w:b/>
          <w:bCs/>
          <w:color w:val="1F4E79"/>
        </w:rPr>
        <w:t xml:space="preserve">Commercial Viability: </w:t>
      </w:r>
      <w:r>
        <w:rPr>
          <w:color w:val="000000"/>
        </w:rPr>
        <w:t>ROI of 823% confirms strong commercial justification</w:t>
      </w:r>
    </w:p>
    <w:p w14:paraId="7AA359F1" w14:textId="2F78D18B" w:rsidR="005732E2" w:rsidRDefault="00000000" w:rsidP="00B765FB">
      <w:pPr>
        <w:pStyle w:val="ListParagraph"/>
        <w:numPr>
          <w:ilvl w:val="0"/>
          <w:numId w:val="2"/>
        </w:numPr>
        <w:spacing w:before="60" w:after="80"/>
        <w:jc w:val="both"/>
      </w:pPr>
      <w:r>
        <w:rPr>
          <w:color w:val="000000"/>
        </w:rPr>
        <w:t xml:space="preserve">The campaign's revenue-to-cost ratio of 9.23x and a break-even threshold of only 259 patients (against 2,388 </w:t>
      </w:r>
      <w:proofErr w:type="gramStart"/>
      <w:r>
        <w:rPr>
          <w:color w:val="000000"/>
        </w:rPr>
        <w:t>actually treated</w:t>
      </w:r>
      <w:proofErr w:type="gramEnd"/>
      <w:r>
        <w:rPr>
          <w:color w:val="000000"/>
        </w:rPr>
        <w:t xml:space="preserve">) </w:t>
      </w:r>
      <w:r w:rsidR="00B765FB">
        <w:rPr>
          <w:color w:val="000000"/>
        </w:rPr>
        <w:t>demonstrate</w:t>
      </w:r>
      <w:r>
        <w:rPr>
          <w:color w:val="000000"/>
        </w:rPr>
        <w:t xml:space="preserve"> that even conservatively modelled, diabetes awareness campaigns are commercially self-sustaining.</w:t>
      </w:r>
    </w:p>
    <w:p w14:paraId="67BE5C92" w14:textId="77777777" w:rsidR="005732E2" w:rsidRDefault="00000000" w:rsidP="00B765FB">
      <w:pPr>
        <w:pStyle w:val="ListParagraph"/>
        <w:numPr>
          <w:ilvl w:val="0"/>
          <w:numId w:val="2"/>
        </w:numPr>
        <w:spacing w:before="60" w:after="80"/>
        <w:jc w:val="both"/>
      </w:pPr>
      <w:r>
        <w:rPr>
          <w:b/>
          <w:bCs/>
          <w:color w:val="1F4E79"/>
        </w:rPr>
        <w:t xml:space="preserve">Long-Term Strategic Value: </w:t>
      </w:r>
      <w:r>
        <w:rPr>
          <w:color w:val="000000"/>
        </w:rPr>
        <w:t>Sustained campaigns will amplify long-term value</w:t>
      </w:r>
    </w:p>
    <w:p w14:paraId="0CF24E25" w14:textId="77777777" w:rsidR="005732E2" w:rsidRDefault="00000000" w:rsidP="00B765FB">
      <w:pPr>
        <w:pStyle w:val="ListParagraph"/>
        <w:numPr>
          <w:ilvl w:val="0"/>
          <w:numId w:val="2"/>
        </w:numPr>
        <w:spacing w:before="60" w:after="80"/>
        <w:jc w:val="both"/>
      </w:pPr>
      <w:r>
        <w:rPr>
          <w:color w:val="000000"/>
        </w:rPr>
        <w:t>Diabetes treatment adherence is typically multi-year. Patients onboarded through awareness campaigns represent recurring revenue streams, improving the true lifetime ROI well beyond the first-year figure reported here.</w:t>
      </w:r>
    </w:p>
    <w:p w14:paraId="46AC93A5" w14:textId="77777777" w:rsidR="005732E2" w:rsidRDefault="005732E2" w:rsidP="00B765FB">
      <w:pPr>
        <w:spacing w:after="120"/>
        <w:jc w:val="both"/>
      </w:pPr>
    </w:p>
    <w:p w14:paraId="65A8EF3D" w14:textId="5B8FB838" w:rsidR="005732E2" w:rsidRDefault="00B765FB" w:rsidP="00B765FB">
      <w:pPr>
        <w:spacing w:before="200" w:after="120"/>
        <w:jc w:val="both"/>
      </w:pPr>
      <w:r>
        <w:rPr>
          <w:b/>
          <w:bCs/>
          <w:color w:val="2E75B6"/>
          <w:sz w:val="24"/>
          <w:szCs w:val="24"/>
        </w:rPr>
        <w:t>6.2 Recommendations</w:t>
      </w:r>
    </w:p>
    <w:p w14:paraId="1CEEF03F" w14:textId="77777777" w:rsidR="005732E2" w:rsidRDefault="00000000" w:rsidP="00B765FB">
      <w:pPr>
        <w:pStyle w:val="ListParagraph"/>
        <w:numPr>
          <w:ilvl w:val="0"/>
          <w:numId w:val="2"/>
        </w:numPr>
        <w:spacing w:before="60" w:after="80"/>
        <w:jc w:val="both"/>
      </w:pPr>
      <w:r>
        <w:rPr>
          <w:color w:val="000000"/>
        </w:rPr>
        <w:t>Scale campaigns in tier-2 and tier-3 cities where untreated diabetes prevalence is high and campaign infrastructure costs are lower, improving cost-per-patient-treated ratios.</w:t>
      </w:r>
    </w:p>
    <w:p w14:paraId="158368BF" w14:textId="77777777" w:rsidR="005732E2" w:rsidRDefault="00000000" w:rsidP="00B765FB">
      <w:pPr>
        <w:pStyle w:val="ListParagraph"/>
        <w:numPr>
          <w:ilvl w:val="0"/>
          <w:numId w:val="2"/>
        </w:numPr>
        <w:spacing w:before="60" w:after="80"/>
        <w:jc w:val="both"/>
      </w:pPr>
      <w:r>
        <w:rPr>
          <w:color w:val="000000"/>
        </w:rPr>
        <w:t>Integrate digital follow-up mechanisms (SMS reminders, teleconsultation links) post-screening to improve the 38.2% treatment drop-off observed among diagnosed but untreated patients.</w:t>
      </w:r>
    </w:p>
    <w:p w14:paraId="6D562247" w14:textId="77777777" w:rsidR="005732E2" w:rsidRDefault="00000000" w:rsidP="00B765FB">
      <w:pPr>
        <w:pStyle w:val="ListParagraph"/>
        <w:numPr>
          <w:ilvl w:val="0"/>
          <w:numId w:val="2"/>
        </w:numPr>
        <w:spacing w:before="60" w:after="80"/>
        <w:jc w:val="both"/>
      </w:pPr>
      <w:r>
        <w:rPr>
          <w:color w:val="000000"/>
        </w:rPr>
        <w:t>Partner with government primary health centres (PHCs) under the National Programme for Prevention and Control of Cancer, Diabetes, CVD and Stroke (NPCDCS) to co-fund screening camps and access pre-qualified patient cohorts.</w:t>
      </w:r>
    </w:p>
    <w:p w14:paraId="1C6DF528" w14:textId="0369A4FB" w:rsidR="005732E2" w:rsidRDefault="00000000" w:rsidP="00B765FB">
      <w:pPr>
        <w:pStyle w:val="ListParagraph"/>
        <w:numPr>
          <w:ilvl w:val="0"/>
          <w:numId w:val="2"/>
        </w:numPr>
        <w:spacing w:before="60" w:after="80"/>
        <w:jc w:val="both"/>
      </w:pPr>
      <w:r>
        <w:rPr>
          <w:color w:val="000000"/>
        </w:rPr>
        <w:t xml:space="preserve">Invest in patient adherence programmes — since the lifetime value of a </w:t>
      </w:r>
      <w:r w:rsidR="00B765FB">
        <w:rPr>
          <w:color w:val="000000"/>
        </w:rPr>
        <w:t>patient with diabetes</w:t>
      </w:r>
      <w:r>
        <w:rPr>
          <w:color w:val="000000"/>
        </w:rPr>
        <w:t xml:space="preserve"> is substantially higher than first-year revenue suggests — to reduce treatment discontinuation rates.</w:t>
      </w:r>
    </w:p>
    <w:p w14:paraId="4162C0A5" w14:textId="77777777" w:rsidR="005732E2" w:rsidRDefault="005732E2" w:rsidP="00B765FB">
      <w:pPr>
        <w:spacing w:after="120"/>
        <w:jc w:val="both"/>
      </w:pPr>
    </w:p>
    <w:p w14:paraId="04854DDD" w14:textId="77777777" w:rsidR="005732E2" w:rsidRDefault="00000000" w:rsidP="00B765FB">
      <w:pPr>
        <w:pBdr>
          <w:bottom w:val="single" w:sz="6" w:space="4" w:color="2E75B6"/>
        </w:pBdr>
        <w:spacing w:before="320" w:after="120"/>
        <w:jc w:val="both"/>
      </w:pPr>
      <w:r>
        <w:rPr>
          <w:b/>
          <w:bCs/>
          <w:color w:val="1F4E79"/>
          <w:sz w:val="28"/>
          <w:szCs w:val="28"/>
        </w:rPr>
        <w:t>Conclusion</w:t>
      </w:r>
    </w:p>
    <w:p w14:paraId="0908DB8C" w14:textId="77777777" w:rsidR="005732E2" w:rsidRDefault="00000000" w:rsidP="00B765FB">
      <w:pPr>
        <w:spacing w:before="60" w:after="100"/>
        <w:jc w:val="both"/>
      </w:pPr>
      <w:r>
        <w:rPr>
          <w:color w:val="000000"/>
        </w:rPr>
        <w:t xml:space="preserve">This analysis demonstrates that diabetes awareness campaigns conducted by pharmaceutical companies across Indian cities represent both a sound commercial investment and a meaningful contribution to public health. With a campaign ROI of 823%, a revenue-to-cost multiple of 9.23×, and over 2,388 patients initiated on treatment against a cost of ₹20.18 lakh, the </w:t>
      </w:r>
      <w:proofErr w:type="spellStart"/>
      <w:r>
        <w:rPr>
          <w:color w:val="000000"/>
        </w:rPr>
        <w:t>programme</w:t>
      </w:r>
      <w:proofErr w:type="spellEnd"/>
      <w:r>
        <w:rPr>
          <w:color w:val="000000"/>
        </w:rPr>
        <w:t xml:space="preserve"> delivers exceptional value.</w:t>
      </w:r>
    </w:p>
    <w:p w14:paraId="33DB4F8B" w14:textId="77777777" w:rsidR="005732E2" w:rsidRDefault="005732E2" w:rsidP="00B765FB">
      <w:pPr>
        <w:spacing w:after="120"/>
        <w:jc w:val="both"/>
      </w:pPr>
    </w:p>
    <w:p w14:paraId="7F875E7C" w14:textId="7C1F3B64" w:rsidR="005732E2" w:rsidRDefault="00000000" w:rsidP="00B765FB">
      <w:pPr>
        <w:spacing w:before="60" w:after="100"/>
        <w:jc w:val="both"/>
      </w:pPr>
      <w:r>
        <w:rPr>
          <w:color w:val="000000"/>
        </w:rPr>
        <w:t xml:space="preserve">The data-driven framework presented in this report — spanning campaign funnel analysis, revenue modelling, and ROI quantification — provides a replicable methodology that pharmaceutical companies can use to evaluate, compare, and </w:t>
      </w:r>
      <w:r w:rsidR="00B765FB">
        <w:rPr>
          <w:color w:val="000000"/>
        </w:rPr>
        <w:t>optimize</w:t>
      </w:r>
      <w:r>
        <w:rPr>
          <w:color w:val="000000"/>
        </w:rPr>
        <w:t xml:space="preserve"> awareness campaign investments across therapeutic areas and geographies.</w:t>
      </w:r>
    </w:p>
    <w:p w14:paraId="0740B6D5" w14:textId="77777777" w:rsidR="005732E2" w:rsidRDefault="005732E2" w:rsidP="00B765FB">
      <w:pPr>
        <w:spacing w:after="120"/>
        <w:jc w:val="both"/>
      </w:pPr>
    </w:p>
    <w:p w14:paraId="58B2BF8D" w14:textId="77777777" w:rsidR="005732E2" w:rsidRDefault="00000000" w:rsidP="00B765FB">
      <w:pPr>
        <w:spacing w:before="60" w:after="100"/>
        <w:jc w:val="both"/>
      </w:pPr>
      <w:r>
        <w:rPr>
          <w:color w:val="000000"/>
        </w:rPr>
        <w:t>As India continues to grapple with a rising burden of lifestyle diseases, campaigns such as this occupy the intersection of commercial strategy and social responsibility — a space where pharmaceutical companies are uniquely positioned to create shared value for shareholders, patients, and the healthcare system.</w:t>
      </w:r>
    </w:p>
    <w:p w14:paraId="5C6B6A93" w14:textId="77777777" w:rsidR="005732E2" w:rsidRDefault="005732E2" w:rsidP="00B765FB">
      <w:pPr>
        <w:spacing w:after="120"/>
        <w:jc w:val="both"/>
      </w:pPr>
    </w:p>
    <w:p w14:paraId="1FE467E4" w14:textId="77777777" w:rsidR="005732E2" w:rsidRDefault="00000000" w:rsidP="00B765FB">
      <w:pPr>
        <w:pBdr>
          <w:bottom w:val="single" w:sz="6" w:space="4" w:color="2E75B6"/>
        </w:pBdr>
        <w:spacing w:before="320" w:after="120"/>
        <w:jc w:val="both"/>
      </w:pPr>
      <w:r>
        <w:rPr>
          <w:b/>
          <w:bCs/>
          <w:color w:val="1F4E79"/>
          <w:sz w:val="28"/>
          <w:szCs w:val="28"/>
        </w:rPr>
        <w:lastRenderedPageBreak/>
        <w:t>References</w:t>
      </w:r>
    </w:p>
    <w:p w14:paraId="18724B2E" w14:textId="77777777" w:rsidR="005732E2" w:rsidRDefault="00000000" w:rsidP="00B765FB">
      <w:pPr>
        <w:pStyle w:val="ListParagraph"/>
        <w:numPr>
          <w:ilvl w:val="0"/>
          <w:numId w:val="2"/>
        </w:numPr>
        <w:spacing w:before="60" w:after="80"/>
        <w:jc w:val="both"/>
      </w:pPr>
      <w:r>
        <w:rPr>
          <w:color w:val="000000"/>
        </w:rPr>
        <w:t>International Diabetes Federation (IDF). IDF Diabetes Atlas, 10th Edition. Brussels: IDF, 2021.</w:t>
      </w:r>
    </w:p>
    <w:p w14:paraId="73BAE3C6" w14:textId="77777777" w:rsidR="005732E2" w:rsidRDefault="00000000" w:rsidP="00B765FB">
      <w:pPr>
        <w:pStyle w:val="ListParagraph"/>
        <w:numPr>
          <w:ilvl w:val="0"/>
          <w:numId w:val="2"/>
        </w:numPr>
        <w:spacing w:before="60" w:after="80"/>
        <w:jc w:val="both"/>
      </w:pPr>
      <w:r>
        <w:rPr>
          <w:color w:val="000000"/>
        </w:rPr>
        <w:t>National Pharmaceutical Pricing Authority (NPPA). Drug Price Control Order (DPCO) 2013 — Scheduled Formulations List. Government of India, 2024.</w:t>
      </w:r>
    </w:p>
    <w:p w14:paraId="63C10861" w14:textId="77777777" w:rsidR="005732E2" w:rsidRDefault="00000000" w:rsidP="00B765FB">
      <w:pPr>
        <w:pStyle w:val="ListParagraph"/>
        <w:numPr>
          <w:ilvl w:val="0"/>
          <w:numId w:val="2"/>
        </w:numPr>
        <w:spacing w:before="60" w:after="80"/>
        <w:jc w:val="both"/>
      </w:pPr>
      <w:r>
        <w:rPr>
          <w:color w:val="000000"/>
        </w:rPr>
        <w:t>Sun Pharmaceutical Industries Ltd. — Annual Report &amp; CSR Disclosures, FY2023–24.</w:t>
      </w:r>
    </w:p>
    <w:p w14:paraId="7F6B6F57" w14:textId="23551754" w:rsidR="005732E2" w:rsidRDefault="00000000" w:rsidP="00B765FB">
      <w:pPr>
        <w:pStyle w:val="ListParagraph"/>
        <w:numPr>
          <w:ilvl w:val="0"/>
          <w:numId w:val="2"/>
        </w:numPr>
        <w:spacing w:before="60" w:after="80"/>
        <w:jc w:val="both"/>
      </w:pPr>
      <w:r>
        <w:rPr>
          <w:color w:val="000000"/>
        </w:rPr>
        <w:t xml:space="preserve">Cipla </w:t>
      </w:r>
      <w:r w:rsidR="00B765FB">
        <w:rPr>
          <w:color w:val="000000"/>
        </w:rPr>
        <w:t>Ltd.</w:t>
      </w:r>
      <w:r>
        <w:rPr>
          <w:color w:val="000000"/>
        </w:rPr>
        <w:t xml:space="preserve"> Sustainability Report and Patient Awareness Programme Documentation, 2023.</w:t>
      </w:r>
    </w:p>
    <w:p w14:paraId="579B5158" w14:textId="77777777" w:rsidR="005732E2" w:rsidRDefault="00000000" w:rsidP="00B765FB">
      <w:pPr>
        <w:pStyle w:val="ListParagraph"/>
        <w:numPr>
          <w:ilvl w:val="0"/>
          <w:numId w:val="2"/>
        </w:numPr>
        <w:spacing w:before="60" w:after="80"/>
        <w:jc w:val="both"/>
      </w:pPr>
      <w:r>
        <w:rPr>
          <w:color w:val="000000"/>
        </w:rPr>
        <w:t>Ministry of Health &amp; Family Welfare, Government of India. National Programme for Prevention and Control of Cancer, Diabetes, CVD and Stroke (NPCDCS), Programme Guidelines, 2023.</w:t>
      </w:r>
    </w:p>
    <w:p w14:paraId="7C8C76CE" w14:textId="77777777" w:rsidR="005732E2" w:rsidRDefault="00000000" w:rsidP="00B765FB">
      <w:pPr>
        <w:pStyle w:val="ListParagraph"/>
        <w:numPr>
          <w:ilvl w:val="0"/>
          <w:numId w:val="2"/>
        </w:numPr>
        <w:spacing w:before="60" w:after="80"/>
        <w:jc w:val="both"/>
      </w:pPr>
      <w:r>
        <w:rPr>
          <w:color w:val="000000"/>
        </w:rPr>
        <w:t>IMS Health / IQVIA India Pharma Market Report. Diabetes Therapy Segment Analysis. Mumbai: IQVIA, 2024.</w:t>
      </w:r>
    </w:p>
    <w:sectPr w:rsidR="005732E2">
      <w:headerReference w:type="default" r:id="rId8"/>
      <w:footerReference w:type="default" r:id="rId9"/>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A7A5B" w14:textId="77777777" w:rsidR="003231FD" w:rsidRDefault="003231FD">
      <w:r>
        <w:separator/>
      </w:r>
    </w:p>
  </w:endnote>
  <w:endnote w:type="continuationSeparator" w:id="0">
    <w:p w14:paraId="3D8B967D" w14:textId="77777777" w:rsidR="003231FD" w:rsidRDefault="00323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759E" w14:textId="52E64882" w:rsidR="005732E2" w:rsidRDefault="00000000">
    <w:pPr>
      <w:pBdr>
        <w:top w:val="single" w:sz="4" w:space="4" w:color="2E75B6"/>
      </w:pBdr>
      <w:jc w:val="center"/>
    </w:pPr>
    <w:r>
      <w:rPr>
        <w:color w:val="888888"/>
        <w:sz w:val="16"/>
        <w:szCs w:val="16"/>
      </w:rPr>
      <w:t xml:space="preserve">Shoolini </w:t>
    </w:r>
    <w:r w:rsidR="00B765FB">
      <w:rPr>
        <w:color w:val="888888"/>
        <w:sz w:val="16"/>
        <w:szCs w:val="16"/>
      </w:rPr>
      <w:t>University | MBA</w:t>
    </w:r>
    <w:r>
      <w:rPr>
        <w:color w:val="888888"/>
        <w:sz w:val="16"/>
        <w:szCs w:val="16"/>
      </w:rPr>
      <w:t xml:space="preserve"> (Pharma &amp; </w:t>
    </w:r>
    <w:r w:rsidR="00B765FB">
      <w:rPr>
        <w:color w:val="888888"/>
        <w:sz w:val="16"/>
        <w:szCs w:val="16"/>
      </w:rPr>
      <w:t xml:space="preserve">Healthcare) </w:t>
    </w:r>
    <w:proofErr w:type="gramStart"/>
    <w:r w:rsidR="00B765FB">
      <w:rPr>
        <w:color w:val="888888"/>
        <w:sz w:val="16"/>
        <w:szCs w:val="16"/>
      </w:rPr>
      <w:t>|</w:t>
    </w:r>
    <w:r>
      <w:rPr>
        <w:color w:val="888888"/>
        <w:sz w:val="16"/>
        <w:szCs w:val="16"/>
      </w:rPr>
      <w:t xml:space="preserve">  Page</w:t>
    </w:r>
    <w:proofErr w:type="gramEnd"/>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9CCE" w14:textId="77777777" w:rsidR="003231FD" w:rsidRDefault="003231FD">
      <w:r>
        <w:separator/>
      </w:r>
    </w:p>
  </w:footnote>
  <w:footnote w:type="continuationSeparator" w:id="0">
    <w:p w14:paraId="7BDA7857" w14:textId="77777777" w:rsidR="003231FD" w:rsidRDefault="003231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8A9C" w14:textId="27F61FD3" w:rsidR="005732E2" w:rsidRDefault="00000000" w:rsidP="00B765FB">
    <w:pPr>
      <w:pBdr>
        <w:bottom w:val="single" w:sz="4" w:space="4" w:color="2E75B6"/>
      </w:pBdr>
      <w:jc w:val="center"/>
    </w:pPr>
    <w:r>
      <w:rPr>
        <w:color w:val="888888"/>
        <w:sz w:val="16"/>
        <w:szCs w:val="16"/>
      </w:rPr>
      <w:t xml:space="preserve">Healthcare Awareness Campaign ROI </w:t>
    </w:r>
    <w:r w:rsidR="001601E4">
      <w:rPr>
        <w:color w:val="888888"/>
        <w:sz w:val="16"/>
        <w:szCs w:val="16"/>
      </w:rPr>
      <w:t xml:space="preserve">Analysis </w:t>
    </w:r>
    <w:proofErr w:type="gramStart"/>
    <w:r w:rsidR="001601E4">
      <w:rPr>
        <w:color w:val="888888"/>
        <w:sz w:val="16"/>
        <w:szCs w:val="16"/>
      </w:rPr>
      <w:t>|</w:t>
    </w:r>
    <w:r>
      <w:rPr>
        <w:color w:val="888888"/>
        <w:sz w:val="16"/>
        <w:szCs w:val="16"/>
      </w:rPr>
      <w:t xml:space="preserve">  </w:t>
    </w:r>
    <w:r w:rsidR="00B765FB">
      <w:rPr>
        <w:color w:val="888888"/>
        <w:sz w:val="16"/>
        <w:szCs w:val="16"/>
      </w:rPr>
      <w:t>Devesh</w:t>
    </w:r>
    <w:proofErr w:type="gramEnd"/>
    <w:r w:rsidR="00B765FB">
      <w:rPr>
        <w:color w:val="888888"/>
        <w:sz w:val="16"/>
        <w:szCs w:val="16"/>
      </w:rPr>
      <w:t xml:space="preserve"> | MBA</w:t>
    </w:r>
    <w:r>
      <w:rPr>
        <w:color w:val="888888"/>
        <w:sz w:val="16"/>
        <w:szCs w:val="16"/>
      </w:rPr>
      <w:t xml:space="preserve"> (Pharma &amp; Healthcare)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3659"/>
    <w:multiLevelType w:val="hybridMultilevel"/>
    <w:tmpl w:val="51188B68"/>
    <w:lvl w:ilvl="0" w:tplc="8AFC8B62">
      <w:start w:val="1"/>
      <w:numFmt w:val="bullet"/>
      <w:lvlText w:val="•"/>
      <w:lvlJc w:val="left"/>
      <w:pPr>
        <w:ind w:left="720" w:hanging="360"/>
      </w:pPr>
    </w:lvl>
    <w:lvl w:ilvl="1" w:tplc="AC40C1A8">
      <w:numFmt w:val="decimal"/>
      <w:lvlText w:val=""/>
      <w:lvlJc w:val="left"/>
    </w:lvl>
    <w:lvl w:ilvl="2" w:tplc="FC2011CE">
      <w:numFmt w:val="decimal"/>
      <w:lvlText w:val=""/>
      <w:lvlJc w:val="left"/>
    </w:lvl>
    <w:lvl w:ilvl="3" w:tplc="67E8CB92">
      <w:numFmt w:val="decimal"/>
      <w:lvlText w:val=""/>
      <w:lvlJc w:val="left"/>
    </w:lvl>
    <w:lvl w:ilvl="4" w:tplc="5A9C94A6">
      <w:numFmt w:val="decimal"/>
      <w:lvlText w:val=""/>
      <w:lvlJc w:val="left"/>
    </w:lvl>
    <w:lvl w:ilvl="5" w:tplc="4810E2F2">
      <w:numFmt w:val="decimal"/>
      <w:lvlText w:val=""/>
      <w:lvlJc w:val="left"/>
    </w:lvl>
    <w:lvl w:ilvl="6" w:tplc="E7FAE076">
      <w:numFmt w:val="decimal"/>
      <w:lvlText w:val=""/>
      <w:lvlJc w:val="left"/>
    </w:lvl>
    <w:lvl w:ilvl="7" w:tplc="C81EC072">
      <w:numFmt w:val="decimal"/>
      <w:lvlText w:val=""/>
      <w:lvlJc w:val="left"/>
    </w:lvl>
    <w:lvl w:ilvl="8" w:tplc="5F56EB92">
      <w:numFmt w:val="decimal"/>
      <w:lvlText w:val=""/>
      <w:lvlJc w:val="left"/>
    </w:lvl>
  </w:abstractNum>
  <w:abstractNum w:abstractNumId="1" w15:restartNumberingAfterBreak="0">
    <w:nsid w:val="4E781B9E"/>
    <w:multiLevelType w:val="hybridMultilevel"/>
    <w:tmpl w:val="E1B0C410"/>
    <w:lvl w:ilvl="0" w:tplc="19A63D10">
      <w:start w:val="1"/>
      <w:numFmt w:val="bullet"/>
      <w:lvlText w:val="●"/>
      <w:lvlJc w:val="left"/>
      <w:pPr>
        <w:ind w:left="720" w:hanging="360"/>
      </w:pPr>
    </w:lvl>
    <w:lvl w:ilvl="1" w:tplc="134EF1DE">
      <w:start w:val="1"/>
      <w:numFmt w:val="bullet"/>
      <w:lvlText w:val="○"/>
      <w:lvlJc w:val="left"/>
      <w:pPr>
        <w:ind w:left="1440" w:hanging="360"/>
      </w:pPr>
    </w:lvl>
    <w:lvl w:ilvl="2" w:tplc="86D03AE2">
      <w:start w:val="1"/>
      <w:numFmt w:val="bullet"/>
      <w:lvlText w:val="■"/>
      <w:lvlJc w:val="left"/>
      <w:pPr>
        <w:ind w:left="2160" w:hanging="360"/>
      </w:pPr>
    </w:lvl>
    <w:lvl w:ilvl="3" w:tplc="3D74F1DA">
      <w:start w:val="1"/>
      <w:numFmt w:val="bullet"/>
      <w:lvlText w:val="●"/>
      <w:lvlJc w:val="left"/>
      <w:pPr>
        <w:ind w:left="2880" w:hanging="360"/>
      </w:pPr>
    </w:lvl>
    <w:lvl w:ilvl="4" w:tplc="D47E9C10">
      <w:start w:val="1"/>
      <w:numFmt w:val="bullet"/>
      <w:lvlText w:val="○"/>
      <w:lvlJc w:val="left"/>
      <w:pPr>
        <w:ind w:left="3600" w:hanging="360"/>
      </w:pPr>
    </w:lvl>
    <w:lvl w:ilvl="5" w:tplc="9D101D10">
      <w:start w:val="1"/>
      <w:numFmt w:val="bullet"/>
      <w:lvlText w:val="■"/>
      <w:lvlJc w:val="left"/>
      <w:pPr>
        <w:ind w:left="4320" w:hanging="360"/>
      </w:pPr>
    </w:lvl>
    <w:lvl w:ilvl="6" w:tplc="6AE2CC6C">
      <w:start w:val="1"/>
      <w:numFmt w:val="bullet"/>
      <w:lvlText w:val="●"/>
      <w:lvlJc w:val="left"/>
      <w:pPr>
        <w:ind w:left="5040" w:hanging="360"/>
      </w:pPr>
    </w:lvl>
    <w:lvl w:ilvl="7" w:tplc="07E66CB0">
      <w:start w:val="1"/>
      <w:numFmt w:val="bullet"/>
      <w:lvlText w:val="●"/>
      <w:lvlJc w:val="left"/>
      <w:pPr>
        <w:ind w:left="5760" w:hanging="360"/>
      </w:pPr>
    </w:lvl>
    <w:lvl w:ilvl="8" w:tplc="2098E77E">
      <w:start w:val="1"/>
      <w:numFmt w:val="bullet"/>
      <w:lvlText w:val="●"/>
      <w:lvlJc w:val="left"/>
      <w:pPr>
        <w:ind w:left="6480" w:hanging="360"/>
      </w:pPr>
    </w:lvl>
  </w:abstractNum>
  <w:num w:numId="1" w16cid:durableId="739641112">
    <w:abstractNumId w:val="1"/>
    <w:lvlOverride w:ilvl="0">
      <w:startOverride w:val="1"/>
    </w:lvlOverride>
  </w:num>
  <w:num w:numId="2" w16cid:durableId="1597442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E2"/>
    <w:rsid w:val="00136BA4"/>
    <w:rsid w:val="001601E4"/>
    <w:rsid w:val="003231FD"/>
    <w:rsid w:val="005732E2"/>
    <w:rsid w:val="0077662D"/>
    <w:rsid w:val="00B765FB"/>
    <w:rsid w:val="00CC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F629"/>
  <w15:docId w15:val="{14C2CD18-6730-4549-BE83-37892744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semiHidden/>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765FB"/>
    <w:pPr>
      <w:tabs>
        <w:tab w:val="center" w:pos="4680"/>
        <w:tab w:val="right" w:pos="9360"/>
      </w:tabs>
    </w:pPr>
  </w:style>
  <w:style w:type="character" w:customStyle="1" w:styleId="HeaderChar">
    <w:name w:val="Header Char"/>
    <w:basedOn w:val="DefaultParagraphFont"/>
    <w:link w:val="Header"/>
    <w:uiPriority w:val="99"/>
    <w:rsid w:val="00B765FB"/>
  </w:style>
  <w:style w:type="paragraph" w:styleId="Footer">
    <w:name w:val="footer"/>
    <w:basedOn w:val="Normal"/>
    <w:link w:val="FooterChar"/>
    <w:uiPriority w:val="99"/>
    <w:unhideWhenUsed/>
    <w:rsid w:val="00B765FB"/>
    <w:pPr>
      <w:tabs>
        <w:tab w:val="center" w:pos="4680"/>
        <w:tab w:val="right" w:pos="9360"/>
      </w:tabs>
    </w:pPr>
  </w:style>
  <w:style w:type="character" w:customStyle="1" w:styleId="FooterChar">
    <w:name w:val="Footer Char"/>
    <w:basedOn w:val="DefaultParagraphFont"/>
    <w:link w:val="Footer"/>
    <w:uiPriority w:val="99"/>
    <w:rsid w:val="00B76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56678-EBFF-4A31-8F32-87746CB91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1871</Words>
  <Characters>10669</Characters>
  <Application>Microsoft Office Word</Application>
  <DocSecurity>0</DocSecurity>
  <Lines>88</Lines>
  <Paragraphs>25</Paragraphs>
  <ScaleCrop>false</ScaleCrop>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Devesh kumar PGD202565745</cp:lastModifiedBy>
  <cp:revision>3</cp:revision>
  <dcterms:created xsi:type="dcterms:W3CDTF">2026-03-10T08:19:00Z</dcterms:created>
  <dcterms:modified xsi:type="dcterms:W3CDTF">2026-03-10T08:29:00Z</dcterms:modified>
</cp:coreProperties>
</file>