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361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74" w:val="left"/>
        </w:tabs>
        <w:autoSpaceDE w:val="0"/>
        <w:widowControl/>
        <w:spacing w:line="240" w:lineRule="exact" w:before="1460" w:after="0"/>
        <w:ind w:left="72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DEVESH PANT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December 3, 2022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RIMA PANT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38 HIGHLAND ST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ROCKY HILL, CT 06067-3152</w:t>
      </w:r>
    </w:p>
    <w:p>
      <w:pPr>
        <w:autoSpaceDN w:val="0"/>
        <w:autoSpaceDE w:val="0"/>
        <w:widowControl/>
        <w:spacing w:line="200" w:lineRule="exact" w:before="1628" w:after="0"/>
        <w:ind w:left="360" w:right="0" w:firstLine="0"/>
        <w:jc w:val="left"/>
      </w:pPr>
      <w:r>
        <w:rPr>
          <w:rFonts w:ascii="FidelitySans" w:hAnsi="FidelitySans" w:eastAsia="FidelitySans"/>
          <w:b/>
          <w:i w:val="0"/>
          <w:color w:val="000000"/>
          <w:sz w:val="20"/>
        </w:rPr>
        <w:t>Please Review</w:t>
      </w:r>
    </w:p>
    <w:p>
      <w:pPr>
        <w:autoSpaceDN w:val="0"/>
        <w:autoSpaceDE w:val="0"/>
        <w:widowControl/>
        <w:spacing w:line="208" w:lineRule="exact" w:before="272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Account(s): ***-**3624</w:t>
      </w:r>
    </w:p>
    <w:p>
      <w:pPr>
        <w:autoSpaceDN w:val="0"/>
        <w:autoSpaceDE w:val="0"/>
        <w:widowControl/>
        <w:spacing w:line="208" w:lineRule="exact" w:before="272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Dear DEVESH PANT:</w:t>
      </w:r>
    </w:p>
    <w:p>
      <w:pPr>
        <w:autoSpaceDN w:val="0"/>
        <w:autoSpaceDE w:val="0"/>
        <w:widowControl/>
        <w:spacing w:line="240" w:lineRule="exact" w:before="24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On 11/02/2022, we sent you a letter to let you know that recent trading activity in your above referenced account had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resulted in a significant decrease in overall account equity. We also suggested that you review your account activity,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including option trading, to make sure that it still met your investment objective, financial circumstances, and risk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tolerance.</w:t>
      </w:r>
    </w:p>
    <w:p>
      <w:pPr>
        <w:autoSpaceDN w:val="0"/>
        <w:autoSpaceDE w:val="0"/>
        <w:widowControl/>
        <w:spacing w:line="240" w:lineRule="exact" w:before="240" w:after="0"/>
        <w:ind w:left="360" w:right="144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Our records reflect that over the last month, your account has had similar activity and that 635 trades were executed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and your overall equity value has decreased by $28731.42.</w:t>
      </w:r>
    </w:p>
    <w:p>
      <w:pPr>
        <w:autoSpaceDN w:val="0"/>
        <w:autoSpaceDE w:val="0"/>
        <w:widowControl/>
        <w:spacing w:line="240" w:lineRule="exact" w:before="240" w:after="0"/>
        <w:ind w:left="360" w:right="432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As we previously communicated, because Fidelity does not provide investment guidance on the purchase of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individual equity securities, options, or non-investment-grade bonds, it is your role to consider the risks and costs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associated with your investment decisions and strategies.</w:t>
      </w:r>
    </w:p>
    <w:p>
      <w:pPr>
        <w:autoSpaceDN w:val="0"/>
        <w:autoSpaceDE w:val="0"/>
        <w:widowControl/>
        <w:spacing w:line="240" w:lineRule="exact" w:before="24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We are sending you this letter to help ensure that you understand and consider the nature and consequences of your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trading activity. We urge you to review your account statements and trade confirmations to determine whether this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activity is still consistent with your investment objectives, financial circumstances, and risk tolerance.</w:t>
      </w:r>
    </w:p>
    <w:p>
      <w:pPr>
        <w:autoSpaceDN w:val="0"/>
        <w:autoSpaceDE w:val="0"/>
        <w:widowControl/>
        <w:spacing w:line="240" w:lineRule="exact" w:before="240" w:after="0"/>
        <w:ind w:left="360" w:right="144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If you wish to continue your current investment activity and strategy, please immediately sign the enclosed Customer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Acknowledgement and send back to us.</w:t>
      </w:r>
    </w:p>
    <w:p>
      <w:pPr>
        <w:autoSpaceDN w:val="0"/>
        <w:autoSpaceDE w:val="0"/>
        <w:widowControl/>
        <w:spacing w:line="208" w:lineRule="exact" w:before="272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You can easily upload the signed document by following these steps: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184" w:after="0"/>
        <w:ind w:left="360" w:right="576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Visit </w:t>
      </w:r>
      <w:r>
        <w:rPr>
          <w:rFonts w:ascii="FidelitySans" w:hAnsi="FidelitySans" w:eastAsia="FidelitySans"/>
          <w:b/>
          <w:i w:val="0"/>
          <w:color w:val="000000"/>
          <w:sz w:val="20"/>
        </w:rPr>
        <w:t>Fidelity.com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 and Log in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Click Customer Service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Select Contact us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Click Email a secure message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Upload the requested document and make sure to reference the file number show below in the subject line</w:t>
      </w:r>
    </w:p>
    <w:p>
      <w:pPr>
        <w:autoSpaceDN w:val="0"/>
        <w:autoSpaceDE w:val="0"/>
        <w:widowControl/>
        <w:spacing w:line="192" w:lineRule="exact" w:before="1324" w:after="12"/>
        <w:ind w:left="2304" w:right="2016" w:firstLine="0"/>
        <w:jc w:val="center"/>
      </w:pP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Fidelity Investments and pyramid design logo are registered service marks of FMR LLC. 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Fidelity Brokerage Services LLC, Member NYSE, SIPC, 900 Salem Street, Smithfield, RI 02917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©2022 FMR LLC. All rights reserved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3727"/>
        <w:gridCol w:w="3727"/>
        <w:gridCol w:w="3727"/>
      </w:tblGrid>
      <w:tr>
        <w:trPr>
          <w:trHeight w:hRule="exact" w:val="24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190" w:right="0" w:firstLine="0"/>
              <w:jc w:val="lef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877806.1.0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W760317-03DEC22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10" w:firstLine="0"/>
              <w:jc w:val="righ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Page 1 of 3</w:t>
            </w:r>
          </w:p>
        </w:tc>
      </w:tr>
    </w:tbl>
    <w:p>
      <w:pPr>
        <w:autoSpaceDN w:val="0"/>
        <w:autoSpaceDE w:val="0"/>
        <w:widowControl/>
        <w:spacing w:line="160" w:lineRule="exact" w:before="362" w:after="0"/>
        <w:ind w:left="0" w:right="5344" w:firstLine="0"/>
        <w:jc w:val="right"/>
      </w:pPr>
      <w:r>
        <w:rPr>
          <w:rFonts w:ascii="ArialMT" w:hAnsi="ArialMT" w:eastAsia="ArialMT"/>
          <w:b w:val="0"/>
          <w:i w:val="0"/>
          <w:color w:val="C0C0C0"/>
          <w:sz w:val="16"/>
        </w:rPr>
        <w:t>S</w:t>
      </w:r>
    </w:p>
    <w:p>
      <w:pPr>
        <w:sectPr>
          <w:pgSz w:w="12240" w:h="15840"/>
          <w:pgMar w:top="218" w:right="670" w:bottom="88" w:left="390" w:header="720" w:footer="720" w:gutter="0"/>
          <w:cols w:space="720" w:num="1" w:equalWidth="0">
            <w:col w:w="111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361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0" w:lineRule="exact" w:before="64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Alternatively, you can send the document back to us via U.S. Mail by using one of the following addresses:</w:t>
      </w:r>
    </w:p>
    <w:p>
      <w:pPr>
        <w:autoSpaceDN w:val="0"/>
        <w:tabs>
          <w:tab w:pos="4734" w:val="left"/>
        </w:tabs>
        <w:autoSpaceDE w:val="0"/>
        <w:widowControl/>
        <w:spacing w:line="202" w:lineRule="exact" w:before="278" w:after="0"/>
        <w:ind w:left="360" w:right="0" w:firstLine="0"/>
        <w:jc w:val="left"/>
      </w:pPr>
      <w:r>
        <w:rPr>
          <w:rFonts w:ascii="FidelitySans" w:hAnsi="FidelitySans" w:eastAsia="FidelitySans"/>
          <w:b/>
          <w:i w:val="0"/>
          <w:color w:val="000000"/>
          <w:sz w:val="20"/>
        </w:rPr>
        <w:t xml:space="preserve">Regular mail: </w:t>
      </w:r>
      <w:r>
        <w:tab/>
      </w:r>
      <w:r>
        <w:rPr>
          <w:rFonts w:ascii="FidelitySans" w:hAnsi="FidelitySans" w:eastAsia="FidelitySans"/>
          <w:b/>
          <w:i w:val="0"/>
          <w:color w:val="000000"/>
          <w:sz w:val="20"/>
        </w:rPr>
        <w:t>Overnight Mail:</w:t>
      </w:r>
    </w:p>
    <w:p>
      <w:pPr>
        <w:autoSpaceDN w:val="0"/>
        <w:tabs>
          <w:tab w:pos="4734" w:val="left"/>
        </w:tabs>
        <w:autoSpaceDE w:val="0"/>
        <w:widowControl/>
        <w:spacing w:line="240" w:lineRule="exact" w:before="240" w:after="0"/>
        <w:ind w:left="360" w:right="4464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Fidelity Investments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Fidelity Investments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PO Box 770001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100 Crosby Parkway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Cincinnati, OH 45277-0002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Covington, KY 41015</w:t>
      </w:r>
    </w:p>
    <w:p>
      <w:pPr>
        <w:autoSpaceDN w:val="0"/>
        <w:autoSpaceDE w:val="0"/>
        <w:widowControl/>
        <w:spacing w:line="240" w:lineRule="exact" w:before="240" w:after="0"/>
        <w:ind w:left="360" w:right="144" w:firstLine="0"/>
        <w:jc w:val="left"/>
      </w:pPr>
      <w:r>
        <w:rPr>
          <w:rFonts w:ascii="FidelitySans" w:hAnsi="FidelitySans" w:eastAsia="FidelitySans"/>
          <w:b/>
          <w:i w:val="0"/>
          <w:color w:val="000000"/>
          <w:sz w:val="20"/>
        </w:rPr>
        <w:t xml:space="preserve">If we do not receive your signed acknowledgement form within thirty (30) days, we will restrict the trading in </w:t>
      </w:r>
      <w:r>
        <w:rPr>
          <w:rFonts w:ascii="FidelitySans" w:hAnsi="FidelitySans" w:eastAsia="FidelitySans"/>
          <w:b/>
          <w:i w:val="0"/>
          <w:color w:val="000000"/>
          <w:sz w:val="20"/>
        </w:rPr>
        <w:t xml:space="preserve">your account and allow closing transactions only. This account restriction will be removed once you return the </w:t>
      </w:r>
      <w:r>
        <w:rPr>
          <w:rFonts w:ascii="FidelitySans" w:hAnsi="FidelitySans" w:eastAsia="FidelitySans"/>
          <w:b/>
          <w:i w:val="0"/>
          <w:color w:val="000000"/>
          <w:sz w:val="20"/>
        </w:rPr>
        <w:t>acknowledgement form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. Fidelity will not be responsible for continuing to monitor your account or for notifying you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of further losses. If you would like more information regarding Fidelity’s educational tools and investment offerings,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please visit Fidelity.com. Additionally, if you trade options and would like more information regarding the risks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of options trading, a copy of the OCC’s “Characteristics and Risks of Standardized Options” is also available on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Fidelity.com, or you may call a Fidelity representative at (800) 343-3548 to assist you.</w:t>
      </w:r>
    </w:p>
    <w:p>
      <w:pPr>
        <w:autoSpaceDN w:val="0"/>
        <w:autoSpaceDE w:val="0"/>
        <w:widowControl/>
        <w:spacing w:line="210" w:lineRule="exact" w:before="27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Thank you for choosing Fidelity Investments to help with your financial needs.</w:t>
      </w:r>
    </w:p>
    <w:p>
      <w:pPr>
        <w:autoSpaceDN w:val="0"/>
        <w:autoSpaceDE w:val="0"/>
        <w:widowControl/>
        <w:spacing w:line="240" w:lineRule="exact" w:before="240" w:after="0"/>
        <w:ind w:left="360" w:right="8928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Sincerely,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Fidelity Investments</w:t>
      </w:r>
    </w:p>
    <w:p>
      <w:pPr>
        <w:autoSpaceDN w:val="0"/>
        <w:autoSpaceDE w:val="0"/>
        <w:widowControl/>
        <w:spacing w:line="240" w:lineRule="exact" w:before="240" w:after="0"/>
        <w:ind w:left="360" w:right="5472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Our File Number: W760317-03DEC22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Enclosure: Return Envelope, Customer Acknowledgement</w:t>
      </w:r>
    </w:p>
    <w:p>
      <w:pPr>
        <w:autoSpaceDN w:val="0"/>
        <w:autoSpaceDE w:val="0"/>
        <w:widowControl/>
        <w:spacing w:line="160" w:lineRule="exact" w:before="516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/>
          <w:color w:val="000000"/>
          <w:sz w:val="16"/>
        </w:rPr>
        <w:t>Options trading entails significant risk and is not appropriate for all investors. Certain complex options strategies carry additional risk.</w:t>
      </w:r>
    </w:p>
    <w:p>
      <w:pPr>
        <w:autoSpaceDN w:val="0"/>
        <w:autoSpaceDE w:val="0"/>
        <w:widowControl/>
        <w:spacing w:line="192" w:lineRule="exact" w:before="6206" w:after="12"/>
        <w:ind w:left="2304" w:right="2016" w:firstLine="0"/>
        <w:jc w:val="center"/>
      </w:pP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Fidelity Investments and pyramid design logo are registered service marks of FMR LLC. 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Fidelity Brokerage Services LLC, Member NYSE, SIPC, 900 Salem Street, Smithfield, RI 02917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©2022 FMR LLC. All rights reserved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3727"/>
        <w:gridCol w:w="3727"/>
        <w:gridCol w:w="3727"/>
      </w:tblGrid>
      <w:tr>
        <w:trPr>
          <w:trHeight w:hRule="exact" w:val="16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190" w:right="0" w:firstLine="0"/>
              <w:jc w:val="lef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877806.1.0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W760317-03DEC22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10" w:firstLine="0"/>
              <w:jc w:val="righ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Page 2 of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8" w:right="670" w:bottom="378" w:left="390" w:header="720" w:footer="720" w:gutter="0"/>
          <w:cols w:space="720" w:num="1" w:equalWidth="0">
            <w:col w:w="11180" w:space="0"/>
            <w:col w:w="111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361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610" w:after="0"/>
        <w:ind w:left="360" w:right="8064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DEVESH PANT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RIMA PANT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38 HIGHLAND ST </w:t>
      </w:r>
      <w:r>
        <w:br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ROCKY HILL, CT 06067-3152</w:t>
      </w:r>
    </w:p>
    <w:p>
      <w:pPr>
        <w:autoSpaceDN w:val="0"/>
        <w:autoSpaceDE w:val="0"/>
        <w:widowControl/>
        <w:spacing w:line="210" w:lineRule="exact" w:before="27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Date: 12/02/2022</w:t>
      </w:r>
    </w:p>
    <w:p>
      <w:pPr>
        <w:autoSpaceDN w:val="0"/>
        <w:autoSpaceDE w:val="0"/>
        <w:widowControl/>
        <w:spacing w:line="202" w:lineRule="exact" w:before="278" w:after="0"/>
        <w:ind w:left="360" w:right="0" w:firstLine="0"/>
        <w:jc w:val="left"/>
      </w:pPr>
      <w:r>
        <w:rPr>
          <w:rFonts w:ascii="FidelitySans" w:hAnsi="FidelitySans" w:eastAsia="FidelitySans"/>
          <w:b/>
          <w:i w:val="0"/>
          <w:color w:val="000000"/>
          <w:sz w:val="20"/>
        </w:rPr>
        <w:t>Customer Acknowledgement</w:t>
      </w:r>
    </w:p>
    <w:p>
      <w:pPr>
        <w:autoSpaceDN w:val="0"/>
        <w:autoSpaceDE w:val="0"/>
        <w:widowControl/>
        <w:spacing w:line="210" w:lineRule="exact" w:before="27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Account(s): ***-**3624</w:t>
      </w:r>
    </w:p>
    <w:p>
      <w:pPr>
        <w:autoSpaceDN w:val="0"/>
        <w:autoSpaceDE w:val="0"/>
        <w:widowControl/>
        <w:spacing w:line="210" w:lineRule="exact" w:before="51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To Fidelity Brokerage Services LLC:</w:t>
      </w:r>
    </w:p>
    <w:p>
      <w:pPr>
        <w:autoSpaceDN w:val="0"/>
        <w:autoSpaceDE w:val="0"/>
        <w:widowControl/>
        <w:spacing w:line="240" w:lineRule="exact" w:before="24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 have reviewed all of the activity in my account number ***-**3624, including commissions and changes in equity. I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understand and accept the risks associated with the trading and the overall investment strategy that I am pursuing and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 have determined that the activity in my account is consistent with my investment objectives, financial circumstances,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and risk tolerance.</w:t>
      </w:r>
    </w:p>
    <w:p>
      <w:pPr>
        <w:autoSpaceDN w:val="0"/>
        <w:autoSpaceDE w:val="0"/>
        <w:widowControl/>
        <w:spacing w:line="240" w:lineRule="exact" w:before="240" w:after="0"/>
        <w:ind w:left="360" w:right="144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I further acknowledge that I am responsible for all trading and activity in my account(s) and I understand that Fidelity </w:t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will not be responsible for monitoring my account or notifying me of further losses.</w:t>
      </w:r>
    </w:p>
    <w:p>
      <w:pPr>
        <w:autoSpaceDN w:val="0"/>
        <w:tabs>
          <w:tab w:pos="5930" w:val="left"/>
        </w:tabs>
        <w:autoSpaceDE w:val="0"/>
        <w:widowControl/>
        <w:spacing w:line="240" w:lineRule="auto" w:before="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25800" cy="495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95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327400" cy="43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48" w:val="left"/>
        </w:tabs>
        <w:autoSpaceDE w:val="0"/>
        <w:widowControl/>
        <w:spacing w:line="208" w:lineRule="exact" w:before="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 xml:space="preserve">Account Owner /Trustee / Custodian </w:t>
      </w:r>
      <w:r>
        <w:tab/>
      </w:r>
      <w:r>
        <w:rPr>
          <w:rFonts w:ascii="FidelitySans" w:hAnsi="FidelitySans" w:eastAsia="FidelitySans"/>
          <w:b w:val="0"/>
          <w:i w:val="0"/>
          <w:color w:val="000000"/>
          <w:sz w:val="20"/>
        </w:rPr>
        <w:t>Joint Account / Owner / Trustee</w:t>
      </w:r>
    </w:p>
    <w:p>
      <w:pPr>
        <w:autoSpaceDN w:val="0"/>
        <w:tabs>
          <w:tab w:pos="5930" w:val="left"/>
        </w:tabs>
        <w:autoSpaceDE w:val="0"/>
        <w:widowControl/>
        <w:spacing w:line="240" w:lineRule="auto" w:before="0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25800" cy="43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327400" cy="393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0" w:lineRule="exact" w:before="0" w:after="0"/>
        <w:ind w:left="0" w:right="4800" w:firstLine="0"/>
        <w:jc w:val="righ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Date</w:t>
      </w:r>
    </w:p>
    <w:p>
      <w:pPr>
        <w:autoSpaceDN w:val="0"/>
        <w:autoSpaceDE w:val="0"/>
        <w:widowControl/>
        <w:spacing w:line="210" w:lineRule="exact" w:before="27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Please note: For Joint and Trust accounts, each owner/trustee must sign.</w:t>
      </w:r>
    </w:p>
    <w:p>
      <w:pPr>
        <w:autoSpaceDN w:val="0"/>
        <w:autoSpaceDE w:val="0"/>
        <w:widowControl/>
        <w:spacing w:line="210" w:lineRule="exact" w:before="510" w:after="0"/>
        <w:ind w:left="360" w:right="0" w:firstLine="0"/>
        <w:jc w:val="left"/>
      </w:pPr>
      <w:r>
        <w:rPr>
          <w:rFonts w:ascii="FidelitySans" w:hAnsi="FidelitySans" w:eastAsia="FidelitySans"/>
          <w:b w:val="0"/>
          <w:i w:val="0"/>
          <w:color w:val="000000"/>
          <w:sz w:val="20"/>
        </w:rPr>
        <w:t>Our File Number: W760317-03DEC22</w:t>
      </w:r>
    </w:p>
    <w:p>
      <w:pPr>
        <w:autoSpaceDN w:val="0"/>
        <w:autoSpaceDE w:val="0"/>
        <w:widowControl/>
        <w:spacing w:line="192" w:lineRule="exact" w:before="4604" w:after="12"/>
        <w:ind w:left="2304" w:right="2016" w:firstLine="0"/>
        <w:jc w:val="center"/>
      </w:pPr>
      <w:r>
        <w:rPr>
          <w:rFonts w:ascii="FidelitySans" w:hAnsi="FidelitySans" w:eastAsia="FidelitySans"/>
          <w:b w:val="0"/>
          <w:i w:val="0"/>
          <w:color w:val="000000"/>
          <w:sz w:val="16"/>
        </w:rPr>
        <w:t xml:space="preserve">Fidelity Investments and pyramid design logo are registered service marks of FMR LLC. 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Fidelity Brokerage Services LLC, Member NYSE, SIPC, 900 Salem Street, Smithfield, RI 02917</w:t>
      </w:r>
      <w:r>
        <w:rPr>
          <w:rFonts w:ascii="FidelitySans" w:hAnsi="FidelitySans" w:eastAsia="FidelitySans"/>
          <w:b w:val="0"/>
          <w:i w:val="0"/>
          <w:color w:val="000000"/>
          <w:sz w:val="16"/>
        </w:rPr>
        <w:t>©2022 FMR LLC. All rights reserved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3730"/>
        <w:gridCol w:w="3730"/>
        <w:gridCol w:w="3730"/>
      </w:tblGrid>
      <w:tr>
        <w:trPr>
          <w:trHeight w:hRule="exact" w:val="16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190" w:right="0" w:firstLine="0"/>
              <w:jc w:val="lef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877806.1.0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W760317-03DEC22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10" w:firstLine="0"/>
              <w:jc w:val="right"/>
            </w:pPr>
            <w:r>
              <w:rPr>
                <w:rFonts w:ascii="FidelitySans" w:hAnsi="FidelitySans" w:eastAsia="FidelitySans"/>
                <w:b w:val="0"/>
                <w:i w:val="0"/>
                <w:color w:val="000000"/>
                <w:sz w:val="16"/>
              </w:rPr>
              <w:t>Page 3 of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18" w:right="660" w:bottom="378" w:left="390" w:header="720" w:footer="720" w:gutter="0"/>
      <w:cols w:space="720" w:num="1" w:equalWidth="0">
        <w:col w:w="11190" w:space="0"/>
        <w:col w:w="11180" w:space="0"/>
        <w:col w:w="111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