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2F6BFF"/>
          <w:sz w:val="22"/>
        </w:rPr>
        <w:t>NATIONAL HACKATHON TECHNICAL REPORT</w:t>
      </w:r>
    </w:p>
    <w:p>
      <w:pPr>
        <w:spacing w:before="200" w:after="160"/>
        <w:jc w:val="center"/>
      </w:pPr>
      <w:r>
        <w:rPr>
          <w:rFonts w:ascii="Calibri" w:hAnsi="Calibri"/>
          <w:b/>
          <w:color w:val="0B1930"/>
          <w:sz w:val="68"/>
        </w:rPr>
        <w:t>Sentinel AML</w:t>
      </w:r>
    </w:p>
    <w:p>
      <w:pPr>
        <w:spacing w:after="280"/>
        <w:jc w:val="center"/>
      </w:pPr>
      <w:r>
        <w:rPr>
          <w:rFonts w:ascii="Calibri" w:hAnsi="Calibri"/>
          <w:b/>
          <w:color w:val="2F6BFF"/>
          <w:sz w:val="34"/>
        </w:rPr>
        <w:t>AI-Powered Suspicious Activity Detection</w:t>
      </w:r>
    </w:p>
    <w:p>
      <w:pPr>
        <w:spacing w:after="760"/>
        <w:jc w:val="center"/>
      </w:pPr>
      <w:r>
        <w:rPr>
          <w:rFonts w:ascii="Calibri" w:hAnsi="Calibri"/>
          <w:i/>
          <w:color w:val="64748B"/>
          <w:sz w:val="28"/>
        </w:rPr>
        <w:t>Ask the data. Trace every decision.</w:t>
      </w:r>
    </w:p>
    <w:p>
      <w:pPr>
        <w:keepLines/>
        <w:spacing w:before="80" w:after="160" w:line="259" w:lineRule="auto"/>
        <w:ind w:left="115" w:right="115"/>
        <w:shd w:fill="E9FBFF"/>
        <w:pBdr>
          <w:top w:val="single" w:sz="2" w:space="5" w:color="E9FBFF"/>
          <w:left w:val="single" w:sz="2" w:space="5" w:color="E9FBFF"/>
          <w:bottom w:val="single" w:sz="2" w:space="5" w:color="E9FBFF"/>
          <w:right w:val="single" w:sz="2" w:space="5" w:color="E9FBFF"/>
        </w:pBdr>
      </w:pPr>
      <w:r>
        <w:rPr>
          <w:rFonts w:ascii="Calibri" w:hAnsi="Calibri"/>
          <w:b/>
          <w:color w:val="2F6BFF"/>
          <w:sz w:val="18"/>
        </w:rPr>
        <w:t>CORE PROPOSITION</w:t>
        <w:br/>
      </w:r>
      <w:r>
        <w:rPr>
          <w:rFonts w:ascii="Calibri" w:hAnsi="Calibri"/>
          <w:color w:val="182238"/>
          <w:sz w:val="21"/>
        </w:rPr>
        <w:t>A query-aware AML investigation workspace that transforms a natural-language instruction into a minimal analytical plan, selectively invokes governed tools, and returns explainable risk with a human-controlled escalation trail.</w:t>
      </w:r>
    </w:p>
    <w:p/>
    <w:p>
      <w:pPr>
        <w:spacing w:before="400"/>
        <w:jc w:val="center"/>
      </w:pPr>
      <w:r>
        <w:rPr>
          <w:rFonts w:ascii="Calibri" w:hAnsi="Calibri"/>
          <w:b/>
          <w:color w:val="182238"/>
          <w:sz w:val="23"/>
        </w:rPr>
        <w:t>Team Leader: Devesh Raj   |   Team Member: Mayank Gupta</w:t>
      </w:r>
    </w:p>
    <w:p>
      <w:pPr>
        <w:jc w:val="center"/>
      </w:pPr>
      <w:r>
        <w:rPr>
          <w:rFonts w:ascii="Calibri" w:hAnsi="Calibri"/>
          <w:color w:val="64748B"/>
          <w:sz w:val="20"/>
        </w:rPr>
        <w:t>Technical architecture, algorithms, governance, UI and demo evidence</w:t>
      </w:r>
    </w:p>
    <w:p>
      <w:pPr>
        <w:keepNext/>
        <w:pageBreakBefore/>
        <w:spacing w:before="0" w:after="100"/>
      </w:pPr>
      <w:r>
        <w:rPr>
          <w:rFonts w:ascii="Calibri" w:hAnsi="Calibri"/>
          <w:b/>
          <w:color w:val="0B1930"/>
          <w:sz w:val="50"/>
        </w:rPr>
        <w:t>Executive Brief</w:t>
      </w:r>
    </w:p>
    <w:p>
      <w:pPr>
        <w:spacing w:after="280"/>
      </w:pPr>
      <w:r>
        <w:rPr>
          <w:rFonts w:ascii="Calibri" w:hAnsi="Calibri"/>
          <w:color w:val="64748B"/>
          <w:sz w:val="23"/>
        </w:rPr>
        <w:t>What the platform solves, how it works, and why it stands out</w:t>
      </w:r>
    </w:p>
    <w:p>
      <w:pPr>
        <w:keepLines/>
        <w:spacing w:before="80" w:after="160" w:line="259" w:lineRule="auto"/>
        <w:ind w:left="115" w:right="115"/>
        <w:shd w:fill="EAF1FF"/>
        <w:pBdr>
          <w:top w:val="single" w:sz="2" w:space="5" w:color="EAF1FF"/>
          <w:left w:val="single" w:sz="2" w:space="5" w:color="EAF1FF"/>
          <w:bottom w:val="single" w:sz="2" w:space="5" w:color="EAF1FF"/>
          <w:right w:val="single" w:sz="2" w:space="5" w:color="EAF1FF"/>
        </w:pBdr>
      </w:pPr>
      <w:r>
        <w:rPr>
          <w:rFonts w:ascii="Calibri" w:hAnsi="Calibri"/>
          <w:b/>
          <w:color w:val="2F6BFF"/>
          <w:sz w:val="18"/>
        </w:rPr>
        <w:t>30-SECOND PITCH</w:t>
        <w:br/>
      </w:r>
      <w:r>
        <w:rPr>
          <w:rFonts w:ascii="Calibri" w:hAnsi="Calibri"/>
          <w:color w:val="182238"/>
          <w:sz w:val="21"/>
        </w:rPr>
        <w:t>Traditional AML monitoring is noisy and rigid. Sentinel AML lets an investigator ask a question in plain language, builds the smallest defensible tool plan, analyzes only the relevant evidence, and returns ranked risk, transaction support, an explanation, an action recommendation and a trace of every decision.</w:t>
      </w:r>
    </w:p>
    <w:p>
      <w:pPr>
        <w:pStyle w:val="Heading1"/>
      </w:pPr>
      <w:r>
        <w:t>Problem</w:t>
      </w:r>
    </w:p>
    <w:p>
      <w:pPr>
        <w:pStyle w:val="ListBullet"/>
        <w:spacing w:after="100" w:line="264" w:lineRule="auto"/>
        <w:ind w:left="720" w:hanging="360"/>
      </w:pPr>
      <w:r>
        <w:rPr>
          <w:rFonts w:ascii="Calibri" w:hAnsi="Calibri"/>
          <w:color w:val="182238"/>
          <w:sz w:val="21"/>
        </w:rPr>
        <w:t>Static threshold rules generate large review queues and limited context.</w:t>
      </w:r>
    </w:p>
    <w:p>
      <w:pPr>
        <w:pStyle w:val="ListBullet"/>
        <w:spacing w:after="100" w:line="264" w:lineRule="auto"/>
        <w:ind w:left="720" w:hanging="360"/>
      </w:pPr>
      <w:r>
        <w:rPr>
          <w:rFonts w:ascii="Calibri" w:hAnsi="Calibri"/>
          <w:color w:val="182238"/>
          <w:sz w:val="21"/>
        </w:rPr>
        <w:t>Structuring, smurfing, layering, rapid movement and behavioural change require different analytical evidence.</w:t>
      </w:r>
    </w:p>
    <w:p>
      <w:pPr>
        <w:pStyle w:val="ListBullet"/>
        <w:spacing w:after="100" w:line="264" w:lineRule="auto"/>
        <w:ind w:left="720" w:hanging="360"/>
      </w:pPr>
      <w:r>
        <w:rPr>
          <w:rFonts w:ascii="Calibri" w:hAnsi="Calibri"/>
          <w:color w:val="182238"/>
          <w:sz w:val="21"/>
        </w:rPr>
        <w:t>Opaque scores are difficult to defend to investigators, model owners and auditors.</w:t>
      </w:r>
    </w:p>
    <w:p>
      <w:pPr>
        <w:pStyle w:val="ListBullet"/>
        <w:spacing w:after="100" w:line="264" w:lineRule="auto"/>
        <w:ind w:left="720" w:hanging="360"/>
      </w:pPr>
      <w:r>
        <w:rPr>
          <w:rFonts w:ascii="Calibri" w:hAnsi="Calibri"/>
          <w:color w:val="182238"/>
          <w:sz w:val="21"/>
        </w:rPr>
        <w:t>Running every tool for every query wastes compute and can dilute targeted signals.</w:t>
      </w:r>
    </w:p>
    <w:p>
      <w:pPr>
        <w:pStyle w:val="Heading1"/>
      </w:pPr>
      <w:r>
        <w:t>Implemented solution</w:t>
      </w:r>
    </w:p>
    <w:p>
      <w:pPr>
        <w:pStyle w:val="ListBullet"/>
        <w:spacing w:after="100" w:line="264" w:lineRule="auto"/>
        <w:ind w:left="720" w:hanging="360"/>
      </w:pPr>
      <w:r>
        <w:rPr>
          <w:rFonts w:ascii="Calibri" w:hAnsi="Calibri"/>
          <w:color w:val="182238"/>
          <w:sz w:val="21"/>
        </w:rPr>
        <w:t>Natural-language intent, entity, date, amount, country, payment-format and typology extraction.</w:t>
      </w:r>
    </w:p>
    <w:p>
      <w:pPr>
        <w:pStyle w:val="ListBullet"/>
        <w:spacing w:after="100" w:line="264" w:lineRule="auto"/>
        <w:ind w:left="720" w:hanging="360"/>
      </w:pPr>
      <w:r>
        <w:rPr>
          <w:rFonts w:ascii="Calibri" w:hAnsi="Calibri"/>
          <w:color w:val="182238"/>
          <w:sz w:val="21"/>
        </w:rPr>
        <w:t>Policy-constrained dynamic planning with selected tools, skipped tools and reasons.</w:t>
      </w:r>
    </w:p>
    <w:p>
      <w:pPr>
        <w:pStyle w:val="ListBullet"/>
        <w:spacing w:after="100" w:line="264" w:lineRule="auto"/>
        <w:ind w:left="720" w:hanging="360"/>
      </w:pPr>
      <w:r>
        <w:rPr>
          <w:rFonts w:ascii="Calibri" w:hAnsi="Calibri"/>
          <w:color w:val="182238"/>
          <w:sz w:val="21"/>
        </w:rPr>
        <w:t>Hybrid rules, statistics, Isolation Forest and conditional graph analysis.</w:t>
      </w:r>
    </w:p>
    <w:p>
      <w:pPr>
        <w:pStyle w:val="ListBullet"/>
        <w:spacing w:after="100" w:line="264" w:lineRule="auto"/>
        <w:ind w:left="720" w:hanging="360"/>
      </w:pPr>
      <w:r>
        <w:rPr>
          <w:rFonts w:ascii="Calibri" w:hAnsi="Calibri"/>
          <w:color w:val="182238"/>
          <w:sz w:val="21"/>
        </w:rPr>
        <w:t>Detector-aware score fusion, Low/Medium/High bands and Monitor/Review/Report actions.</w:t>
      </w:r>
    </w:p>
    <w:p>
      <w:pPr>
        <w:pStyle w:val="ListBullet"/>
        <w:spacing w:after="100" w:line="264" w:lineRule="auto"/>
        <w:ind w:left="720" w:hanging="360"/>
      </w:pPr>
      <w:r>
        <w:rPr>
          <w:rFonts w:ascii="Calibri" w:hAnsi="Calibri"/>
          <w:color w:val="182238"/>
          <w:sz w:val="21"/>
        </w:rPr>
        <w:t>Evidence-linked explanations, SAR drafts, exports, investigations, alerts and audit records.</w:t>
      </w:r>
    </w:p>
    <w:p>
      <w:pPr>
        <w:pStyle w:val="ListBullet"/>
        <w:spacing w:after="100" w:line="264" w:lineRule="auto"/>
        <w:ind w:left="720" w:hanging="360"/>
      </w:pPr>
      <w:r>
        <w:rPr>
          <w:rFonts w:ascii="Calibri" w:hAnsi="Calibri"/>
          <w:color w:val="182238"/>
          <w:sz w:val="21"/>
        </w:rPr>
        <w:t>Governed CSV/XLSX workspaces with inspection, fingerprinting, isolation and activation.</w:t>
      </w:r>
    </w:p>
    <w:tbl>
      <w:tblPr>
        <w:tblStyle w:val="TableGrid"/>
        <w:tblW w:type="dxa" w:w="9360"/>
        <w:jc w:val="center"/>
        <w:tblLayout w:type="fixed"/>
        <w:tblLook w:firstColumn="1" w:firstRow="1" w:lastColumn="0" w:lastRow="0" w:noHBand="0" w:noVBand="1" w:val="04A0"/>
        <w:tblInd w:w="120" w:type="dxa"/>
      </w:tblPr>
      <w:tblGrid>
        <w:gridCol w:w="6200"/>
        <w:gridCol w:w="3160"/>
      </w:tblGrid>
      <w:tr>
        <w:trPr>
          <w:tblHeader w:val="1"/>
        </w:trPr>
        <w:tc>
          <w:tcPr>
            <w:tcW w:type="dxa" w:w="6200"/>
            <w:tcMar>
              <w:top w:w="80" w:type="dxa"/>
              <w:start w:w="120" w:type="dxa"/>
              <w:bottom w:w="80" w:type="dxa"/>
              <w:end w:w="120" w:type="dxa"/>
            </w:tcMar>
            <w:vAlign w:val="center"/>
            <w:shd w:fill="0B1930"/>
          </w:tcPr>
          <w:p>
            <w:pPr>
              <w:spacing w:after="0" w:line="240" w:lineRule="auto"/>
            </w:pPr>
            <w:r>
              <w:rPr>
                <w:rFonts w:ascii="Calibri" w:hAnsi="Calibri"/>
                <w:b/>
                <w:color w:val="FFFFFF"/>
                <w:sz w:val="18"/>
              </w:rPr>
              <w:t>Verified project scale</w:t>
            </w:r>
          </w:p>
        </w:tc>
        <w:tc>
          <w:tcPr>
            <w:tcW w:type="dxa" w:w="3160"/>
            <w:tcMar>
              <w:top w:w="80" w:type="dxa"/>
              <w:start w:w="120" w:type="dxa"/>
              <w:bottom w:w="80" w:type="dxa"/>
              <w:end w:w="120" w:type="dxa"/>
            </w:tcMar>
            <w:vAlign w:val="center"/>
            <w:shd w:fill="0B1930"/>
          </w:tcPr>
          <w:p>
            <w:pPr>
              <w:spacing w:after="0" w:line="240" w:lineRule="auto"/>
            </w:pPr>
            <w:r>
              <w:rPr>
                <w:rFonts w:ascii="Calibri" w:hAnsi="Calibri"/>
                <w:b/>
                <w:color w:val="FFFFFF"/>
                <w:sz w:val="18"/>
              </w:rPr>
              <w:t>Value</w:t>
            </w:r>
          </w:p>
        </w:tc>
      </w:tr>
      <w:tr>
        <w:tc>
          <w:tcPr>
            <w:tcW w:type="dxa" w:w="6200"/>
            <w:tcMar>
              <w:top w:w="80" w:type="dxa"/>
              <w:start w:w="120" w:type="dxa"/>
              <w:bottom w:w="80" w:type="dxa"/>
              <w:end w:w="120" w:type="dxa"/>
            </w:tcMar>
            <w:vAlign w:val="center"/>
          </w:tcPr>
          <w:p>
            <w:pPr>
              <w:spacing w:after="0" w:line="240" w:lineRule="auto"/>
            </w:pPr>
            <w:r>
              <w:rPr>
                <w:rFonts w:ascii="Calibri" w:hAnsi="Calibri"/>
                <w:b w:val="0"/>
                <w:color w:val="182238"/>
                <w:sz w:val="18"/>
              </w:rPr>
              <w:t>Operational HI-Small transactions</w:t>
            </w:r>
          </w:p>
        </w:tc>
        <w:tc>
          <w:tcPr>
            <w:tcW w:type="dxa" w:w="3160"/>
            <w:tcMar>
              <w:top w:w="80" w:type="dxa"/>
              <w:start w:w="120" w:type="dxa"/>
              <w:bottom w:w="80" w:type="dxa"/>
              <w:end w:w="120" w:type="dxa"/>
            </w:tcMar>
            <w:vAlign w:val="center"/>
          </w:tcPr>
          <w:p>
            <w:pPr>
              <w:spacing w:after="0" w:line="240" w:lineRule="auto"/>
            </w:pPr>
            <w:r>
              <w:rPr>
                <w:rFonts w:ascii="Calibri" w:hAnsi="Calibri"/>
                <w:b w:val="0"/>
                <w:color w:val="182238"/>
                <w:sz w:val="18"/>
              </w:rPr>
              <w:t>5,078,345 rows</w:t>
            </w:r>
          </w:p>
        </w:tc>
      </w:tr>
      <w:tr>
        <w:tc>
          <w:tcPr>
            <w:tcW w:type="dxa" w:w="62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SAML-D knowledge/calibration table</w:t>
            </w:r>
          </w:p>
        </w:tc>
        <w:tc>
          <w:tcPr>
            <w:tcW w:type="dxa" w:w="31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59,873 rows</w:t>
            </w:r>
          </w:p>
        </w:tc>
      </w:tr>
      <w:tr>
        <w:tc>
          <w:tcPr>
            <w:tcW w:type="dxa" w:w="6200"/>
            <w:tcMar>
              <w:top w:w="80" w:type="dxa"/>
              <w:start w:w="120" w:type="dxa"/>
              <w:bottom w:w="80" w:type="dxa"/>
              <w:end w:w="120" w:type="dxa"/>
            </w:tcMar>
            <w:vAlign w:val="center"/>
          </w:tcPr>
          <w:p>
            <w:pPr>
              <w:spacing w:after="0" w:line="240" w:lineRule="auto"/>
            </w:pPr>
            <w:r>
              <w:rPr>
                <w:rFonts w:ascii="Calibri" w:hAnsi="Calibri"/>
                <w:b w:val="0"/>
                <w:color w:val="182238"/>
                <w:sz w:val="18"/>
              </w:rPr>
              <w:t>Combined governed analytical rows</w:t>
            </w:r>
          </w:p>
        </w:tc>
        <w:tc>
          <w:tcPr>
            <w:tcW w:type="dxa" w:w="3160"/>
            <w:tcMar>
              <w:top w:w="80" w:type="dxa"/>
              <w:start w:w="120" w:type="dxa"/>
              <w:bottom w:w="80" w:type="dxa"/>
              <w:end w:w="120" w:type="dxa"/>
            </w:tcMar>
            <w:vAlign w:val="center"/>
          </w:tcPr>
          <w:p>
            <w:pPr>
              <w:spacing w:after="0" w:line="240" w:lineRule="auto"/>
            </w:pPr>
            <w:r>
              <w:rPr>
                <w:rFonts w:ascii="Calibri" w:hAnsi="Calibri"/>
                <w:b w:val="0"/>
                <w:color w:val="182238"/>
                <w:sz w:val="18"/>
              </w:rPr>
              <w:t>5,138,218 rows</w:t>
            </w:r>
          </w:p>
        </w:tc>
      </w:tr>
      <w:tr>
        <w:tc>
          <w:tcPr>
            <w:tcW w:type="dxa" w:w="62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Primary planner tool registry</w:t>
            </w:r>
          </w:p>
        </w:tc>
        <w:tc>
          <w:tcPr>
            <w:tcW w:type="dxa" w:w="31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11 tools</w:t>
            </w:r>
          </w:p>
        </w:tc>
      </w:tr>
      <w:tr>
        <w:tc>
          <w:tcPr>
            <w:tcW w:type="dxa" w:w="6200"/>
            <w:tcMar>
              <w:top w:w="80" w:type="dxa"/>
              <w:start w:w="120" w:type="dxa"/>
              <w:bottom w:w="80" w:type="dxa"/>
              <w:end w:w="120" w:type="dxa"/>
            </w:tcMar>
            <w:vAlign w:val="center"/>
          </w:tcPr>
          <w:p>
            <w:pPr>
              <w:spacing w:after="0" w:line="240" w:lineRule="auto"/>
            </w:pPr>
            <w:r>
              <w:rPr>
                <w:rFonts w:ascii="Calibri" w:hAnsi="Calibri"/>
                <w:b w:val="0"/>
                <w:color w:val="182238"/>
                <w:sz w:val="18"/>
              </w:rPr>
              <w:t>Reviewer application routes</w:t>
            </w:r>
          </w:p>
        </w:tc>
        <w:tc>
          <w:tcPr>
            <w:tcW w:type="dxa" w:w="3160"/>
            <w:tcMar>
              <w:top w:w="80" w:type="dxa"/>
              <w:start w:w="120" w:type="dxa"/>
              <w:bottom w:w="80" w:type="dxa"/>
              <w:end w:w="120" w:type="dxa"/>
            </w:tcMar>
            <w:vAlign w:val="center"/>
          </w:tcPr>
          <w:p>
            <w:pPr>
              <w:spacing w:after="0" w:line="240" w:lineRule="auto"/>
            </w:pPr>
            <w:r>
              <w:rPr>
                <w:rFonts w:ascii="Calibri" w:hAnsi="Calibri"/>
                <w:b w:val="0"/>
                <w:color w:val="182238"/>
                <w:sz w:val="18"/>
              </w:rPr>
              <w:t>9 workspaces</w:t>
            </w:r>
          </w:p>
        </w:tc>
      </w:tr>
      <w:tr>
        <w:tc>
          <w:tcPr>
            <w:tcW w:type="dxa" w:w="62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Active anomaly-model baseline</w:t>
            </w:r>
          </w:p>
        </w:tc>
        <w:tc>
          <w:tcPr>
            <w:tcW w:type="dxa" w:w="31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50,000 normal-behaviour rows</w:t>
            </w:r>
          </w:p>
        </w:tc>
      </w:tr>
    </w:tbl>
    <w:p>
      <w:pPr>
        <w:spacing w:after="20"/>
      </w:pPr>
    </w:p>
    <w:p>
      <w:pPr>
        <w:keepNext/>
        <w:pageBreakBefore/>
        <w:spacing w:before="0" w:after="100"/>
      </w:pPr>
      <w:r>
        <w:rPr>
          <w:rFonts w:ascii="Calibri" w:hAnsi="Calibri"/>
          <w:b/>
          <w:color w:val="0B1930"/>
          <w:sz w:val="50"/>
        </w:rPr>
        <w:t>1. Platform Architecture</w:t>
      </w:r>
    </w:p>
    <w:p>
      <w:pPr>
        <w:spacing w:after="280"/>
      </w:pPr>
      <w:r>
        <w:rPr>
          <w:rFonts w:ascii="Calibri" w:hAnsi="Calibri"/>
          <w:color w:val="64748B"/>
          <w:sz w:val="23"/>
        </w:rPr>
        <w:t>Active end-to-end runtime</w:t>
      </w:r>
    </w:p>
    <w:p>
      <w:pPr>
        <w:spacing w:before="80" w:after="60"/>
        <w:jc w:val="center"/>
      </w:pPr>
      <w:r>
        <w:drawing>
          <wp:inline xmlns:a="http://schemas.openxmlformats.org/drawingml/2006/main" xmlns:pic="http://schemas.openxmlformats.org/drawingml/2006/picture">
            <wp:extent cx="5806440" cy="3266122"/>
            <wp:docPr id="1" name="Picture 1" title="Figure 1. Active runtime from analyst query to structured, persisted review evidence." descr="Figure 1. Active runtime from analyst query to structured, persisted review evidence."/>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806440" cy="3266122"/>
                    </a:xfrm>
                    <a:prstGeom prst="rect"/>
                  </pic:spPr>
                </pic:pic>
              </a:graphicData>
            </a:graphic>
          </wp:inline>
        </w:drawing>
      </w:r>
    </w:p>
    <w:p>
      <w:pPr>
        <w:keepNext/>
        <w:spacing w:after="160"/>
        <w:jc w:val="center"/>
      </w:pPr>
      <w:r>
        <w:rPr>
          <w:rFonts w:ascii="Calibri" w:hAnsi="Calibri"/>
          <w:i/>
          <w:color w:val="64748B"/>
          <w:sz w:val="18"/>
        </w:rPr>
        <w:t>Figure 1. Active runtime from analyst query to structured, persisted review evidence.</w:t>
      </w:r>
    </w:p>
    <w:p>
      <w:pPr>
        <w:spacing w:after="120" w:line="264" w:lineRule="auto"/>
      </w:pPr>
      <w:r>
        <w:rPr>
          <w:rFonts w:ascii="Calibri" w:hAnsi="Calibri"/>
          <w:color w:val="182238"/>
          <w:sz w:val="22"/>
        </w:rPr>
        <w:t>The React workspace submits a QueryRequest to FastAPI. AgentRunner resolves the active dataset, extracts a validated intent, retrieves the top AML knowledge snippets, and asks DynamicPlanner for an ordered minimal plan. AgentRunner executes only those steps, records duration and rationale, then assembles a typed AgentResponse.</w:t>
      </w:r>
    </w:p>
    <w:p>
      <w:pPr>
        <w:spacing w:after="120" w:line="264" w:lineRule="auto"/>
      </w:pPr>
      <w:r>
        <w:rPr>
          <w:rFonts w:ascii="Calibri" w:hAnsi="Calibri"/>
          <w:color w:val="182238"/>
          <w:sz w:val="22"/>
        </w:rPr>
        <w:t>The response includes the original query, active dataset, extracted filters, plan reasoning, executed and skipped tools, summary statistics, ranked entities, risk contributions, supporting transactions, explanations, escalation actions and optional EDA or graph outputs.</w:t>
      </w:r>
    </w:p>
    <w:p>
      <w:pPr>
        <w:keepLines/>
        <w:spacing w:before="80" w:after="160" w:line="259" w:lineRule="auto"/>
        <w:ind w:left="115" w:right="115"/>
        <w:shd w:fill="E9FBFF"/>
        <w:pBdr>
          <w:top w:val="single" w:sz="2" w:space="5" w:color="E9FBFF"/>
          <w:left w:val="single" w:sz="2" w:space="5" w:color="E9FBFF"/>
          <w:bottom w:val="single" w:sz="2" w:space="5" w:color="E9FBFF"/>
          <w:right w:val="single" w:sz="2" w:space="5" w:color="E9FBFF"/>
        </w:pBdr>
      </w:pPr>
      <w:r>
        <w:rPr>
          <w:rFonts w:ascii="Calibri" w:hAnsi="Calibri"/>
          <w:b/>
          <w:color w:val="2F6BFF"/>
          <w:sz w:val="18"/>
        </w:rPr>
        <w:t>IMPORTANT IMPLEMENTATION BOUNDARY</w:t>
        <w:br/>
      </w:r>
      <w:r>
        <w:rPr>
          <w:rFonts w:ascii="Calibri" w:hAnsi="Calibri"/>
          <w:color w:val="182238"/>
          <w:sz w:val="21"/>
        </w:rPr>
        <w:t>The live application uses agent.runner.AgentRunner, agent.intent_extractor.IntentExtractor, agent.planner.DynamicPlanner and the tools package. Additional contract-driven agents under agent/detection, interaction, knowledge_runtime, orchestration, reporting, risk, runtime and visualization are implemented and tested as extension modules, but are not all wired into api.main. Demo claims should focus on the active AgentRunner path.</w:t>
      </w:r>
    </w:p>
    <w:p>
      <w:pPr>
        <w:keepNext/>
        <w:pageBreakBefore/>
        <w:spacing w:before="0" w:after="100"/>
      </w:pPr>
      <w:r>
        <w:rPr>
          <w:rFonts w:ascii="Calibri" w:hAnsi="Calibri"/>
          <w:b/>
          <w:color w:val="0B1930"/>
          <w:sz w:val="50"/>
        </w:rPr>
        <w:t>2. Agentic Workflow and Dynamic Planning</w:t>
      </w:r>
    </w:p>
    <w:p>
      <w:pPr>
        <w:spacing w:before="80" w:after="60"/>
        <w:jc w:val="center"/>
      </w:pPr>
      <w:r>
        <w:drawing>
          <wp:inline xmlns:a="http://schemas.openxmlformats.org/drawingml/2006/main" xmlns:pic="http://schemas.openxmlformats.org/drawingml/2006/picture">
            <wp:extent cx="5806440" cy="3266122"/>
            <wp:docPr id="2" name="Picture 2" title="Figure 2. Query intent changes both the tool sequence and the evidence scope." descr="Figure 2. Query intent changes both the tool sequence and the evidence scope."/>
            <wp:cNvGraphicFramePr>
              <a:graphicFrameLocks noChangeAspect="1"/>
            </wp:cNvGraphicFramePr>
            <a:graphic>
              <a:graphicData uri="http://schemas.openxmlformats.org/drawingml/2006/picture">
                <pic:pic>
                  <pic:nvPicPr>
                    <pic:cNvPr id="0" name="02_adaptive_planning.png"/>
                    <pic:cNvPicPr/>
                  </pic:nvPicPr>
                  <pic:blipFill>
                    <a:blip r:embed="rId12"/>
                    <a:stretch>
                      <a:fillRect/>
                    </a:stretch>
                  </pic:blipFill>
                  <pic:spPr>
                    <a:xfrm>
                      <a:off x="0" y="0"/>
                      <a:ext cx="5806440" cy="3266122"/>
                    </a:xfrm>
                    <a:prstGeom prst="rect"/>
                  </pic:spPr>
                </pic:pic>
              </a:graphicData>
            </a:graphic>
          </wp:inline>
        </w:drawing>
      </w:r>
    </w:p>
    <w:p>
      <w:pPr>
        <w:keepNext/>
        <w:spacing w:after="160"/>
        <w:jc w:val="center"/>
      </w:pPr>
      <w:r>
        <w:rPr>
          <w:rFonts w:ascii="Calibri" w:hAnsi="Calibri"/>
          <w:i/>
          <w:color w:val="64748B"/>
          <w:sz w:val="18"/>
        </w:rPr>
        <w:t>Figure 2. Query intent changes both the tool sequence and the evidence scope.</w:t>
      </w:r>
    </w:p>
    <w:p>
      <w:pPr>
        <w:pStyle w:val="Heading1"/>
      </w:pPr>
      <w:r>
        <w:t>Intent extraction</w:t>
      </w:r>
    </w:p>
    <w:p>
      <w:pPr>
        <w:spacing w:after="120" w:line="264" w:lineRule="auto"/>
      </w:pPr>
      <w:r>
        <w:rPr>
          <w:rFonts w:ascii="Calibri" w:hAnsi="Calibri"/>
          <w:color w:val="182238"/>
          <w:sz w:val="22"/>
        </w:rPr>
        <w:t>The extractor classifies each request as pattern_search, aggregation, entity_lookup or broad_eda. It identifies supported AML patterns and extracts ISO date ranges, account identifiers, minimum and maximum amounts, minimum transaction counts, source countries and payment formats. Groq can produce the JSON contract; a deterministic parser provides an offline fallback.</w:t>
      </w:r>
    </w:p>
    <w:p>
      <w:pPr>
        <w:pStyle w:val="Heading1"/>
      </w:pPr>
      <w:r>
        <w:t>Planner policy</w:t>
      </w:r>
    </w:p>
    <w:p>
      <w:pPr>
        <w:pStyle w:val="ListBullet"/>
        <w:spacing w:after="100" w:line="264" w:lineRule="auto"/>
        <w:ind w:left="720" w:hanging="360"/>
      </w:pPr>
      <w:r>
        <w:rPr>
          <w:rFonts w:ascii="Calibri" w:hAnsi="Calibri"/>
          <w:color w:val="182238"/>
          <w:sz w:val="21"/>
        </w:rPr>
        <w:t>Data loading is always first and applies the extracted scope before expensive computation.</w:t>
      </w:r>
    </w:p>
    <w:p>
      <w:pPr>
        <w:pStyle w:val="ListBullet"/>
        <w:spacing w:after="100" w:line="264" w:lineRule="auto"/>
        <w:ind w:left="720" w:hanging="360"/>
      </w:pPr>
      <w:r>
        <w:rPr>
          <w:rFonts w:ascii="Calibri" w:hAnsi="Calibri"/>
          <w:color w:val="182238"/>
          <w:sz w:val="21"/>
        </w:rPr>
        <w:t>Broad EDA invokes profiling, feature engineering, statistics and ML.</w:t>
      </w:r>
    </w:p>
    <w:p>
      <w:pPr>
        <w:pStyle w:val="ListBullet"/>
        <w:spacing w:after="100" w:line="264" w:lineRule="auto"/>
        <w:ind w:left="720" w:hanging="360"/>
      </w:pPr>
      <w:r>
        <w:rPr>
          <w:rFonts w:ascii="Calibri" w:hAnsi="Calibri"/>
          <w:color w:val="182238"/>
          <w:sz w:val="21"/>
        </w:rPr>
        <w:t>Aggregation questions call the grouped threshold tool directly.</w:t>
      </w:r>
    </w:p>
    <w:p>
      <w:pPr>
        <w:pStyle w:val="ListBullet"/>
        <w:spacing w:after="100" w:line="264" w:lineRule="auto"/>
        <w:ind w:left="720" w:hanging="360"/>
      </w:pPr>
      <w:r>
        <w:rPr>
          <w:rFonts w:ascii="Calibri" w:hAnsi="Calibri"/>
          <w:color w:val="182238"/>
          <w:sz w:val="21"/>
        </w:rPr>
        <w:t>Entity lookups compute targeted features, rules and statistics while skipping broad EDA.</w:t>
      </w:r>
    </w:p>
    <w:p>
      <w:pPr>
        <w:pStyle w:val="ListBullet"/>
        <w:spacing w:after="100" w:line="264" w:lineRule="auto"/>
        <w:ind w:left="720" w:hanging="360"/>
      </w:pPr>
      <w:r>
        <w:rPr>
          <w:rFonts w:ascii="Calibri" w:hAnsi="Calibri"/>
          <w:color w:val="182238"/>
          <w:sz w:val="21"/>
        </w:rPr>
        <w:t>Graph analysis is selected only for network-dependent patterns such as cycles and layering.</w:t>
      </w:r>
    </w:p>
    <w:p>
      <w:pPr>
        <w:pStyle w:val="ListBullet"/>
        <w:spacing w:after="100" w:line="264" w:lineRule="auto"/>
        <w:ind w:left="720" w:hanging="360"/>
      </w:pPr>
      <w:r>
        <w:rPr>
          <w:rFonts w:ascii="Calibri" w:hAnsi="Calibri"/>
          <w:color w:val="182238"/>
          <w:sz w:val="21"/>
        </w:rPr>
        <w:t>Risk scoring, escalation and explanation remain final decision stages.</w:t>
      </w:r>
    </w:p>
    <w:p>
      <w:pPr>
        <w:pStyle w:val="ListBullet"/>
        <w:spacing w:after="100" w:line="264" w:lineRule="auto"/>
        <w:ind w:left="720" w:hanging="360"/>
      </w:pPr>
      <w:r>
        <w:rPr>
          <w:rFonts w:ascii="Calibri" w:hAnsi="Calibri"/>
          <w:color w:val="182238"/>
          <w:sz w:val="21"/>
        </w:rPr>
        <w:t>Unknown LLM-proposed tools are removed by an explicit allow-list validator.</w:t>
      </w:r>
    </w:p>
    <w:p>
      <w:pPr>
        <w:keepNext/>
        <w:pageBreakBefore/>
        <w:spacing w:before="0" w:after="100"/>
      </w:pPr>
      <w:r>
        <w:rPr>
          <w:rFonts w:ascii="Calibri" w:hAnsi="Calibri"/>
          <w:b/>
          <w:color w:val="0B1930"/>
          <w:sz w:val="50"/>
        </w:rPr>
        <w:t>3. Data Flow and Governance</w:t>
      </w:r>
    </w:p>
    <w:p>
      <w:pPr>
        <w:spacing w:before="80" w:after="60"/>
        <w:jc w:val="center"/>
      </w:pPr>
      <w:r>
        <w:drawing>
          <wp:inline xmlns:a="http://schemas.openxmlformats.org/drawingml/2006/main" xmlns:pic="http://schemas.openxmlformats.org/drawingml/2006/picture">
            <wp:extent cx="5806440" cy="3266122"/>
            <wp:docPr id="3" name="Picture 3" title="Figure 3. Separate evidence, knowledge and workflow tables preserve attribution." descr="Figure 3. Separate evidence, knowledge and workflow tables preserve attribution."/>
            <wp:cNvGraphicFramePr>
              <a:graphicFrameLocks noChangeAspect="1"/>
            </wp:cNvGraphicFramePr>
            <a:graphic>
              <a:graphicData uri="http://schemas.openxmlformats.org/drawingml/2006/picture">
                <pic:pic>
                  <pic:nvPicPr>
                    <pic:cNvPr id="0" name="04_data_governance.png"/>
                    <pic:cNvPicPr/>
                  </pic:nvPicPr>
                  <pic:blipFill>
                    <a:blip r:embed="rId13"/>
                    <a:stretch>
                      <a:fillRect/>
                    </a:stretch>
                  </pic:blipFill>
                  <pic:spPr>
                    <a:xfrm>
                      <a:off x="0" y="0"/>
                      <a:ext cx="5806440" cy="3266122"/>
                    </a:xfrm>
                    <a:prstGeom prst="rect"/>
                  </pic:spPr>
                </pic:pic>
              </a:graphicData>
            </a:graphic>
          </wp:inline>
        </w:drawing>
      </w:r>
    </w:p>
    <w:p>
      <w:pPr>
        <w:keepNext/>
        <w:spacing w:after="160"/>
        <w:jc w:val="center"/>
      </w:pPr>
      <w:r>
        <w:rPr>
          <w:rFonts w:ascii="Calibri" w:hAnsi="Calibri"/>
          <w:i/>
          <w:color w:val="64748B"/>
          <w:sz w:val="18"/>
        </w:rPr>
        <w:t>Figure 3. Separate evidence, knowledge and workflow tables preserve attribution.</w:t>
      </w:r>
    </w:p>
    <w:tbl>
      <w:tblPr>
        <w:tblStyle w:val="TableGrid"/>
        <w:tblW w:type="dxa" w:w="9360"/>
        <w:jc w:val="center"/>
        <w:tblLayout w:type="fixed"/>
        <w:tblLook w:firstColumn="1" w:firstRow="1" w:lastColumn="0" w:lastRow="0" w:noHBand="0" w:noVBand="1" w:val="04A0"/>
        <w:tblInd w:w="120" w:type="dxa"/>
      </w:tblPr>
      <w:tblGrid>
        <w:gridCol w:w="2100"/>
        <w:gridCol w:w="3400"/>
        <w:gridCol w:w="3860"/>
      </w:tblGrid>
      <w:tr>
        <w:trPr>
          <w:tblHeader w:val="1"/>
        </w:trPr>
        <w:tc>
          <w:tcPr>
            <w:tcW w:type="dxa" w:w="2100"/>
            <w:tcMar>
              <w:top w:w="80" w:type="dxa"/>
              <w:start w:w="120" w:type="dxa"/>
              <w:bottom w:w="80" w:type="dxa"/>
              <w:end w:w="120" w:type="dxa"/>
            </w:tcMar>
            <w:vAlign w:val="center"/>
            <w:shd w:fill="0B1930"/>
          </w:tcPr>
          <w:p>
            <w:pPr>
              <w:spacing w:after="0" w:line="240" w:lineRule="auto"/>
            </w:pPr>
            <w:r>
              <w:rPr>
                <w:rFonts w:ascii="Calibri" w:hAnsi="Calibri"/>
                <w:b/>
                <w:color w:val="FFFFFF"/>
                <w:sz w:val="18"/>
              </w:rPr>
              <w:t>Dataset</w:t>
            </w:r>
          </w:p>
        </w:tc>
        <w:tc>
          <w:tcPr>
            <w:tcW w:type="dxa" w:w="3400"/>
            <w:tcMar>
              <w:top w:w="80" w:type="dxa"/>
              <w:start w:w="120" w:type="dxa"/>
              <w:bottom w:w="80" w:type="dxa"/>
              <w:end w:w="120" w:type="dxa"/>
            </w:tcMar>
            <w:vAlign w:val="center"/>
            <w:shd w:fill="0B1930"/>
          </w:tcPr>
          <w:p>
            <w:pPr>
              <w:spacing w:after="0" w:line="240" w:lineRule="auto"/>
            </w:pPr>
            <w:r>
              <w:rPr>
                <w:rFonts w:ascii="Calibri" w:hAnsi="Calibri"/>
                <w:b/>
                <w:color w:val="FFFFFF"/>
                <w:sz w:val="18"/>
              </w:rPr>
              <w:t>Implemented role</w:t>
            </w:r>
          </w:p>
        </w:tc>
        <w:tc>
          <w:tcPr>
            <w:tcW w:type="dxa" w:w="3860"/>
            <w:tcMar>
              <w:top w:w="80" w:type="dxa"/>
              <w:start w:w="120" w:type="dxa"/>
              <w:bottom w:w="80" w:type="dxa"/>
              <w:end w:w="120" w:type="dxa"/>
            </w:tcMar>
            <w:vAlign w:val="center"/>
            <w:shd w:fill="0B1930"/>
          </w:tcPr>
          <w:p>
            <w:pPr>
              <w:spacing w:after="0" w:line="240" w:lineRule="auto"/>
            </w:pPr>
            <w:r>
              <w:rPr>
                <w:rFonts w:ascii="Calibri" w:hAnsi="Calibri"/>
                <w:b/>
                <w:color w:val="FFFFFF"/>
                <w:sz w:val="18"/>
              </w:rPr>
              <w:t>Key fields</w:t>
            </w:r>
          </w:p>
        </w:tc>
      </w:tr>
      <w:tr>
        <w:tc>
          <w:tcPr>
            <w:tcW w:type="dxa" w:w="2100"/>
            <w:tcMar>
              <w:top w:w="80" w:type="dxa"/>
              <w:start w:w="120" w:type="dxa"/>
              <w:bottom w:w="80" w:type="dxa"/>
              <w:end w:w="120" w:type="dxa"/>
            </w:tcMar>
            <w:vAlign w:val="center"/>
          </w:tcPr>
          <w:p>
            <w:pPr>
              <w:spacing w:after="0" w:line="240" w:lineRule="auto"/>
            </w:pPr>
            <w:r>
              <w:rPr>
                <w:rFonts w:ascii="Calibri" w:hAnsi="Calibri"/>
                <w:b w:val="0"/>
                <w:color w:val="182238"/>
                <w:sz w:val="18"/>
              </w:rPr>
              <w:t>HI-Small Transactions</w:t>
            </w:r>
          </w:p>
        </w:tc>
        <w:tc>
          <w:tcPr>
            <w:tcW w:type="dxa" w:w="3400"/>
            <w:tcMar>
              <w:top w:w="80" w:type="dxa"/>
              <w:start w:w="120" w:type="dxa"/>
              <w:bottom w:w="80" w:type="dxa"/>
              <w:end w:w="120" w:type="dxa"/>
            </w:tcMar>
            <w:vAlign w:val="center"/>
          </w:tcPr>
          <w:p>
            <w:pPr>
              <w:spacing w:after="0" w:line="240" w:lineRule="auto"/>
            </w:pPr>
            <w:r>
              <w:rPr>
                <w:rFonts w:ascii="Calibri" w:hAnsi="Calibri"/>
                <w:b w:val="0"/>
                <w:color w:val="182238"/>
                <w:sz w:val="18"/>
              </w:rPr>
              <w:t>Operational evidence used for customer and transaction investigation</w:t>
            </w:r>
          </w:p>
        </w:tc>
        <w:tc>
          <w:tcPr>
            <w:tcW w:type="dxa" w:w="3860"/>
            <w:tcMar>
              <w:top w:w="80" w:type="dxa"/>
              <w:start w:w="120" w:type="dxa"/>
              <w:bottom w:w="80" w:type="dxa"/>
              <w:end w:w="120" w:type="dxa"/>
            </w:tcMar>
            <w:vAlign w:val="center"/>
          </w:tcPr>
          <w:p>
            <w:pPr>
              <w:spacing w:after="0" w:line="240" w:lineRule="auto"/>
            </w:pPr>
            <w:r>
              <w:rPr>
                <w:rFonts w:ascii="Calibri" w:hAnsi="Calibri"/>
                <w:b w:val="0"/>
                <w:color w:val="182238"/>
                <w:sz w:val="18"/>
              </w:rPr>
              <w:t>time, accounts, banks, values, currencies, payment format, source label</w:t>
            </w:r>
          </w:p>
        </w:tc>
      </w:tr>
      <w:tr>
        <w:tc>
          <w:tcPr>
            <w:tcW w:type="dxa" w:w="21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SAML-D</w:t>
            </w:r>
          </w:p>
        </w:tc>
        <w:tc>
          <w:tcPr>
            <w:tcW w:type="dxa" w:w="34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Typology grounding, statistical baseline, model training and validation</w:t>
            </w:r>
          </w:p>
        </w:tc>
        <w:tc>
          <w:tcPr>
            <w:tcW w:type="dxa" w:w="38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sender, receiver, amount, countries, payment type, laundering type</w:t>
            </w:r>
          </w:p>
        </w:tc>
      </w:tr>
      <w:tr>
        <w:tc>
          <w:tcPr>
            <w:tcW w:type="dxa" w:w="2100"/>
            <w:tcMar>
              <w:top w:w="80" w:type="dxa"/>
              <w:start w:w="120" w:type="dxa"/>
              <w:bottom w:w="80" w:type="dxa"/>
              <w:end w:w="120" w:type="dxa"/>
            </w:tcMar>
            <w:vAlign w:val="center"/>
          </w:tcPr>
          <w:p>
            <w:pPr>
              <w:spacing w:after="0" w:line="240" w:lineRule="auto"/>
            </w:pPr>
            <w:r>
              <w:rPr>
                <w:rFonts w:ascii="Calibri" w:hAnsi="Calibri"/>
                <w:b w:val="0"/>
                <w:color w:val="182238"/>
                <w:sz w:val="18"/>
              </w:rPr>
              <w:t>Uploaded CSV/XLSX</w:t>
            </w:r>
          </w:p>
        </w:tc>
        <w:tc>
          <w:tcPr>
            <w:tcW w:type="dxa" w:w="3400"/>
            <w:tcMar>
              <w:top w:w="80" w:type="dxa"/>
              <w:start w:w="120" w:type="dxa"/>
              <w:bottom w:w="80" w:type="dxa"/>
              <w:end w:w="120" w:type="dxa"/>
            </w:tcMar>
            <w:vAlign w:val="center"/>
          </w:tcPr>
          <w:p>
            <w:pPr>
              <w:spacing w:after="0" w:line="240" w:lineRule="auto"/>
            </w:pPr>
            <w:r>
              <w:rPr>
                <w:rFonts w:ascii="Calibri" w:hAnsi="Calibri"/>
                <w:b w:val="0"/>
                <w:color w:val="182238"/>
                <w:sz w:val="18"/>
              </w:rPr>
              <w:t>Institutional evidence registered in an isolated DuckDB schema</w:t>
            </w:r>
          </w:p>
        </w:tc>
        <w:tc>
          <w:tcPr>
            <w:tcW w:type="dxa" w:w="3860"/>
            <w:tcMar>
              <w:top w:w="80" w:type="dxa"/>
              <w:start w:w="120" w:type="dxa"/>
              <w:bottom w:w="80" w:type="dxa"/>
              <w:end w:w="120" w:type="dxa"/>
            </w:tcMar>
            <w:vAlign w:val="center"/>
          </w:tcPr>
          <w:p>
            <w:pPr>
              <w:spacing w:after="0" w:line="240" w:lineRule="auto"/>
            </w:pPr>
            <w:r>
              <w:rPr>
                <w:rFonts w:ascii="Calibri" w:hAnsi="Calibri"/>
                <w:b w:val="0"/>
                <w:color w:val="182238"/>
                <w:sz w:val="18"/>
              </w:rPr>
              <w:t>canonical fields determined by schema inspection and mapping</w:t>
            </w:r>
          </w:p>
        </w:tc>
      </w:tr>
    </w:tbl>
    <w:p>
      <w:pPr>
        <w:spacing w:after="20"/>
      </w:pPr>
    </w:p>
    <w:p>
      <w:pPr>
        <w:spacing w:after="120" w:line="264" w:lineRule="auto"/>
      </w:pPr>
      <w:r>
        <w:rPr>
          <w:rFonts w:ascii="Calibri" w:hAnsi="Calibri"/>
          <w:color w:val="182238"/>
          <w:sz w:val="22"/>
        </w:rPr>
        <w:t>The active DuckDB contains six primary tables: transactions, saml_knowledge, dataset_registry, investigations, alert_queue and audit_events. Uploaded datasets receive a fingerprint, workspace schema, row and label metadata, ingestion timestamp and activation state. Existing investigations retain their original dataset attribution after a future workspace switch.</w:t>
      </w:r>
    </w:p>
    <w:p>
      <w:pPr>
        <w:keepLines/>
        <w:spacing w:before="80" w:after="160" w:line="259" w:lineRule="auto"/>
        <w:ind w:left="115" w:right="115"/>
        <w:shd w:fill="EAF1FF"/>
        <w:pBdr>
          <w:top w:val="single" w:sz="2" w:space="5" w:color="EAF1FF"/>
          <w:left w:val="single" w:sz="2" w:space="5" w:color="EAF1FF"/>
          <w:bottom w:val="single" w:sz="2" w:space="5" w:color="EAF1FF"/>
          <w:right w:val="single" w:sz="2" w:space="5" w:color="EAF1FF"/>
        </w:pBdr>
      </w:pPr>
      <w:r>
        <w:rPr>
          <w:rFonts w:ascii="Calibri" w:hAnsi="Calibri"/>
          <w:b/>
          <w:color w:val="2F6BFF"/>
          <w:sz w:val="18"/>
        </w:rPr>
        <w:t>LABEL DISCIPLINE</w:t>
        <w:br/>
      </w:r>
      <w:r>
        <w:rPr>
          <w:rFonts w:ascii="Calibri" w:hAnsi="Calibri"/>
          <w:color w:val="182238"/>
          <w:sz w:val="21"/>
        </w:rPr>
        <w:t>Source laundering labels are retained as dataset metadata and validation context. They are not presented to reviewers as model predictions. Operational evidence and SAML-D calibration data are not joined into one detection table.</w:t>
      </w:r>
    </w:p>
    <w:p>
      <w:pPr>
        <w:keepNext/>
        <w:pageBreakBefore/>
        <w:spacing w:before="0" w:after="100"/>
      </w:pPr>
      <w:r>
        <w:rPr>
          <w:rFonts w:ascii="Calibri" w:hAnsi="Calibri"/>
          <w:b/>
          <w:color w:val="0B1930"/>
          <w:sz w:val="50"/>
        </w:rPr>
        <w:t>4. AI and ML Pipeline</w:t>
      </w:r>
    </w:p>
    <w:p>
      <w:pPr>
        <w:spacing w:before="80" w:after="60"/>
        <w:jc w:val="center"/>
      </w:pPr>
      <w:r>
        <w:drawing>
          <wp:inline xmlns:a="http://schemas.openxmlformats.org/drawingml/2006/main" xmlns:pic="http://schemas.openxmlformats.org/drawingml/2006/picture">
            <wp:extent cx="5806440" cy="3266122"/>
            <wp:docPr id="4" name="Picture 4" title="Figure 4. Complementary detectors feed a transparent, policy-controlled decision." descr="Figure 4. Complementary detectors feed a transparent, policy-controlled decision."/>
            <wp:cNvGraphicFramePr>
              <a:graphicFrameLocks noChangeAspect="1"/>
            </wp:cNvGraphicFramePr>
            <a:graphic>
              <a:graphicData uri="http://schemas.openxmlformats.org/drawingml/2006/picture">
                <pic:pic>
                  <pic:nvPicPr>
                    <pic:cNvPr id="0" name="03_hybrid_detection.png"/>
                    <pic:cNvPicPr/>
                  </pic:nvPicPr>
                  <pic:blipFill>
                    <a:blip r:embed="rId14"/>
                    <a:stretch>
                      <a:fillRect/>
                    </a:stretch>
                  </pic:blipFill>
                  <pic:spPr>
                    <a:xfrm>
                      <a:off x="0" y="0"/>
                      <a:ext cx="5806440" cy="3266122"/>
                    </a:xfrm>
                    <a:prstGeom prst="rect"/>
                  </pic:spPr>
                </pic:pic>
              </a:graphicData>
            </a:graphic>
          </wp:inline>
        </w:drawing>
      </w:r>
    </w:p>
    <w:p>
      <w:pPr>
        <w:keepNext/>
        <w:spacing w:after="160"/>
        <w:jc w:val="center"/>
      </w:pPr>
      <w:r>
        <w:rPr>
          <w:rFonts w:ascii="Calibri" w:hAnsi="Calibri"/>
          <w:i/>
          <w:color w:val="64748B"/>
          <w:sz w:val="18"/>
        </w:rPr>
        <w:t>Figure 4. Complementary detectors feed a transparent, policy-controlled decision.</w:t>
      </w:r>
    </w:p>
    <w:p>
      <w:pPr>
        <w:pStyle w:val="Heading1"/>
      </w:pPr>
      <w:r>
        <w:t>On-demand AML feature engineering</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1"/>
        </w:trPr>
        <w:tc>
          <w:tcPr>
            <w:tcW w:type="dxa" w:w="2800"/>
            <w:tcMar>
              <w:top w:w="80" w:type="dxa"/>
              <w:start w:w="120" w:type="dxa"/>
              <w:bottom w:w="80" w:type="dxa"/>
              <w:end w:w="120" w:type="dxa"/>
            </w:tcMar>
            <w:vAlign w:val="center"/>
            <w:shd w:fill="0B1930"/>
          </w:tcPr>
          <w:p>
            <w:pPr>
              <w:spacing w:after="0" w:line="240" w:lineRule="auto"/>
            </w:pPr>
            <w:r>
              <w:rPr>
                <w:rFonts w:ascii="Calibri" w:hAnsi="Calibri"/>
                <w:b/>
                <w:color w:val="FFFFFF"/>
                <w:sz w:val="18"/>
              </w:rPr>
              <w:t>Feature</w:t>
            </w:r>
          </w:p>
        </w:tc>
        <w:tc>
          <w:tcPr>
            <w:tcW w:type="dxa" w:w="6560"/>
            <w:tcMar>
              <w:top w:w="80" w:type="dxa"/>
              <w:start w:w="120" w:type="dxa"/>
              <w:bottom w:w="80" w:type="dxa"/>
              <w:end w:w="120" w:type="dxa"/>
            </w:tcMar>
            <w:vAlign w:val="center"/>
            <w:shd w:fill="0B1930"/>
          </w:tcPr>
          <w:p>
            <w:pPr>
              <w:spacing w:after="0" w:line="240" w:lineRule="auto"/>
            </w:pPr>
            <w:r>
              <w:rPr>
                <w:rFonts w:ascii="Calibri" w:hAnsi="Calibri"/>
                <w:b/>
                <w:color w:val="FFFFFF"/>
                <w:sz w:val="18"/>
              </w:rPr>
              <w:t>Meaning</w:t>
            </w:r>
          </w:p>
        </w:tc>
      </w:tr>
      <w:tr>
        <w:tc>
          <w:tcPr>
            <w:tcW w:type="dxa" w:w="2800"/>
            <w:tcMar>
              <w:top w:w="80" w:type="dxa"/>
              <w:start w:w="120" w:type="dxa"/>
              <w:bottom w:w="80" w:type="dxa"/>
              <w:end w:w="120" w:type="dxa"/>
            </w:tcMar>
            <w:vAlign w:val="center"/>
          </w:tcPr>
          <w:p>
            <w:pPr>
              <w:spacing w:after="0" w:line="240" w:lineRule="auto"/>
            </w:pPr>
            <w:r>
              <w:rPr>
                <w:rFonts w:ascii="Calibri" w:hAnsi="Calibri"/>
                <w:b w:val="0"/>
                <w:color w:val="182238"/>
                <w:sz w:val="18"/>
              </w:rPr>
              <w:t>txn_count_7d</w:t>
            </w:r>
          </w:p>
        </w:tc>
        <w:tc>
          <w:tcPr>
            <w:tcW w:type="dxa" w:w="6560"/>
            <w:tcMar>
              <w:top w:w="80" w:type="dxa"/>
              <w:start w:w="120" w:type="dxa"/>
              <w:bottom w:w="80" w:type="dxa"/>
              <w:end w:w="120" w:type="dxa"/>
            </w:tcMar>
            <w:vAlign w:val="center"/>
          </w:tcPr>
          <w:p>
            <w:pPr>
              <w:spacing w:after="0" w:line="240" w:lineRule="auto"/>
            </w:pPr>
            <w:r>
              <w:rPr>
                <w:rFonts w:ascii="Calibri" w:hAnsi="Calibri"/>
                <w:b w:val="0"/>
                <w:color w:val="182238"/>
                <w:sz w:val="18"/>
              </w:rPr>
              <w:t>Seven-day sending frequency</w:t>
            </w:r>
          </w:p>
        </w:tc>
      </w:tr>
      <w:tr>
        <w:tc>
          <w:tcPr>
            <w:tcW w:type="dxa" w:w="28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rolling_sum_7d</w:t>
            </w:r>
          </w:p>
        </w:tc>
        <w:tc>
          <w:tcPr>
            <w:tcW w:type="dxa" w:w="65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Seven-day aggregate transaction value</w:t>
            </w:r>
          </w:p>
        </w:tc>
      </w:tr>
      <w:tr>
        <w:tc>
          <w:tcPr>
            <w:tcW w:type="dxa" w:w="2800"/>
            <w:tcMar>
              <w:top w:w="80" w:type="dxa"/>
              <w:start w:w="120" w:type="dxa"/>
              <w:bottom w:w="80" w:type="dxa"/>
              <w:end w:w="120" w:type="dxa"/>
            </w:tcMar>
            <w:vAlign w:val="center"/>
          </w:tcPr>
          <w:p>
            <w:pPr>
              <w:spacing w:after="0" w:line="240" w:lineRule="auto"/>
            </w:pPr>
            <w:r>
              <w:rPr>
                <w:rFonts w:ascii="Calibri" w:hAnsi="Calibri"/>
                <w:b w:val="0"/>
                <w:color w:val="182238"/>
                <w:sz w:val="18"/>
              </w:rPr>
              <w:t>near_threshold_count</w:t>
            </w:r>
          </w:p>
        </w:tc>
        <w:tc>
          <w:tcPr>
            <w:tcW w:type="dxa" w:w="6560"/>
            <w:tcMar>
              <w:top w:w="80" w:type="dxa"/>
              <w:start w:w="120" w:type="dxa"/>
              <w:bottom w:w="80" w:type="dxa"/>
              <w:end w:w="120" w:type="dxa"/>
            </w:tcMar>
            <w:vAlign w:val="center"/>
          </w:tcPr>
          <w:p>
            <w:pPr>
              <w:spacing w:after="0" w:line="240" w:lineRule="auto"/>
            </w:pPr>
            <w:r>
              <w:rPr>
                <w:rFonts w:ascii="Calibri" w:hAnsi="Calibri"/>
                <w:b w:val="0"/>
                <w:color w:val="182238"/>
                <w:sz w:val="18"/>
              </w:rPr>
              <w:t>Repeated values between 8,000 and 10,000</w:t>
            </w:r>
          </w:p>
        </w:tc>
      </w:tr>
      <w:tr>
        <w:tc>
          <w:tcPr>
            <w:tcW w:type="dxa" w:w="28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amount_deviation</w:t>
            </w:r>
          </w:p>
        </w:tc>
        <w:tc>
          <w:tcPr>
            <w:tcW w:type="dxa" w:w="65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Deviation from an account's prior mean transaction value</w:t>
            </w:r>
          </w:p>
        </w:tc>
      </w:tr>
      <w:tr>
        <w:tc>
          <w:tcPr>
            <w:tcW w:type="dxa" w:w="2800"/>
            <w:tcMar>
              <w:top w:w="80" w:type="dxa"/>
              <w:start w:w="120" w:type="dxa"/>
              <w:bottom w:w="80" w:type="dxa"/>
              <w:end w:w="120" w:type="dxa"/>
            </w:tcMar>
            <w:vAlign w:val="center"/>
          </w:tcPr>
          <w:p>
            <w:pPr>
              <w:spacing w:after="0" w:line="240" w:lineRule="auto"/>
            </w:pPr>
            <w:r>
              <w:rPr>
                <w:rFonts w:ascii="Calibri" w:hAnsi="Calibri"/>
                <w:b w:val="0"/>
                <w:color w:val="182238"/>
                <w:sz w:val="18"/>
              </w:rPr>
              <w:t>velocity_1hr</w:t>
            </w:r>
          </w:p>
        </w:tc>
        <w:tc>
          <w:tcPr>
            <w:tcW w:type="dxa" w:w="6560"/>
            <w:tcMar>
              <w:top w:w="80" w:type="dxa"/>
              <w:start w:w="120" w:type="dxa"/>
              <w:bottom w:w="80" w:type="dxa"/>
              <w:end w:w="120" w:type="dxa"/>
            </w:tcMar>
            <w:vAlign w:val="center"/>
          </w:tcPr>
          <w:p>
            <w:pPr>
              <w:spacing w:after="0" w:line="240" w:lineRule="auto"/>
            </w:pPr>
            <w:r>
              <w:rPr>
                <w:rFonts w:ascii="Calibri" w:hAnsi="Calibri"/>
                <w:b w:val="0"/>
                <w:color w:val="182238"/>
                <w:sz w:val="18"/>
              </w:rPr>
              <w:t>One-hour transaction burst intensity</w:t>
            </w:r>
          </w:p>
        </w:tc>
      </w:tr>
      <w:tr>
        <w:tc>
          <w:tcPr>
            <w:tcW w:type="dxa" w:w="28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fan_in_count</w:t>
            </w:r>
          </w:p>
        </w:tc>
        <w:tc>
          <w:tcPr>
            <w:tcW w:type="dxa" w:w="65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Distinct inbound counterparties in the query window</w:t>
            </w:r>
          </w:p>
        </w:tc>
      </w:tr>
      <w:tr>
        <w:tc>
          <w:tcPr>
            <w:tcW w:type="dxa" w:w="2800"/>
            <w:tcMar>
              <w:top w:w="80" w:type="dxa"/>
              <w:start w:w="120" w:type="dxa"/>
              <w:bottom w:w="80" w:type="dxa"/>
              <w:end w:w="120" w:type="dxa"/>
            </w:tcMar>
            <w:vAlign w:val="center"/>
          </w:tcPr>
          <w:p>
            <w:pPr>
              <w:spacing w:after="0" w:line="240" w:lineRule="auto"/>
            </w:pPr>
            <w:r>
              <w:rPr>
                <w:rFonts w:ascii="Calibri" w:hAnsi="Calibri"/>
                <w:b w:val="0"/>
                <w:color w:val="182238"/>
                <w:sz w:val="18"/>
              </w:rPr>
              <w:t>Contextual families</w:t>
            </w:r>
          </w:p>
        </w:tc>
        <w:tc>
          <w:tcPr>
            <w:tcW w:type="dxa" w:w="6560"/>
            <w:tcMar>
              <w:top w:w="80" w:type="dxa"/>
              <w:start w:w="120" w:type="dxa"/>
              <w:bottom w:w="80" w:type="dxa"/>
              <w:end w:w="120" w:type="dxa"/>
            </w:tcMar>
            <w:vAlign w:val="center"/>
          </w:tcPr>
          <w:p>
            <w:pPr>
              <w:spacing w:after="0" w:line="240" w:lineRule="auto"/>
            </w:pPr>
            <w:r>
              <w:rPr>
                <w:rFonts w:ascii="Calibri" w:hAnsi="Calibri"/>
                <w:b w:val="0"/>
                <w:color w:val="182238"/>
                <w:sz w:val="18"/>
              </w:rPr>
              <w:t>fan-out, recent inflow, cross-border and rapid cash-out signals</w:t>
            </w:r>
          </w:p>
        </w:tc>
      </w:tr>
    </w:tbl>
    <w:p>
      <w:pPr>
        <w:spacing w:after="20"/>
      </w:pPr>
    </w:p>
    <w:p>
      <w:pPr>
        <w:spacing w:after="120" w:line="264" w:lineRule="auto"/>
      </w:pPr>
      <w:r>
        <w:rPr>
          <w:rFonts w:ascii="Calibri" w:hAnsi="Calibri"/>
          <w:color w:val="182238"/>
          <w:sz w:val="22"/>
        </w:rPr>
        <w:t>DuckDB window functions compute rolling and velocity features while preserving row order. Feature families are selected by typology. When Isolation Forest is planned, the feature contract is completed even if the user asked for a narrower typology.</w:t>
      </w:r>
    </w:p>
    <w:p>
      <w:pPr>
        <w:keepNext/>
        <w:pageBreakBefore/>
        <w:spacing w:before="0" w:after="100"/>
      </w:pPr>
      <w:r>
        <w:rPr>
          <w:rFonts w:ascii="Calibri" w:hAnsi="Calibri"/>
          <w:b/>
          <w:color w:val="0B1930"/>
          <w:sz w:val="50"/>
        </w:rPr>
        <w:t>5. Analysis Algorithms</w:t>
      </w:r>
    </w:p>
    <w:p>
      <w:pPr>
        <w:spacing w:after="280"/>
      </w:pPr>
      <w:r>
        <w:rPr>
          <w:rFonts w:ascii="Calibri" w:hAnsi="Calibri"/>
          <w:color w:val="64748B"/>
          <w:sz w:val="23"/>
        </w:rPr>
        <w:t>How suspicious behaviour is detected</w:t>
      </w:r>
    </w:p>
    <w:p>
      <w:pPr>
        <w:pStyle w:val="Heading1"/>
      </w:pPr>
      <w:r>
        <w:t>Rule engine</w:t>
      </w:r>
    </w:p>
    <w:p>
      <w:pPr>
        <w:pStyle w:val="ListBullet"/>
        <w:spacing w:after="100" w:line="264" w:lineRule="auto"/>
        <w:ind w:left="720" w:hanging="360"/>
      </w:pPr>
      <w:r>
        <w:rPr>
          <w:rFonts w:ascii="Calibri" w:hAnsi="Calibri"/>
          <w:color w:val="182238"/>
          <w:sz w:val="21"/>
        </w:rPr>
        <w:t>Structuring: repeated transactions from 8,000 to below 10,000 with at least three near-threshold events.</w:t>
      </w:r>
    </w:p>
    <w:p>
      <w:pPr>
        <w:pStyle w:val="ListBullet"/>
        <w:spacing w:after="100" w:line="264" w:lineRule="auto"/>
        <w:ind w:left="720" w:hanging="360"/>
      </w:pPr>
      <w:r>
        <w:rPr>
          <w:rFonts w:ascii="Calibri" w:hAnsi="Calibri"/>
          <w:color w:val="182238"/>
          <w:sz w:val="21"/>
        </w:rPr>
        <w:t>Smurfing: concentrated fan-in from multiple senders or repeated cash deposits with material aggregate value.</w:t>
      </w:r>
    </w:p>
    <w:p>
      <w:pPr>
        <w:pStyle w:val="ListBullet"/>
        <w:spacing w:after="100" w:line="264" w:lineRule="auto"/>
        <w:ind w:left="720" w:hanging="360"/>
      </w:pPr>
      <w:r>
        <w:rPr>
          <w:rFonts w:ascii="Calibri" w:hAnsi="Calibri"/>
          <w:color w:val="182238"/>
          <w:sz w:val="21"/>
        </w:rPr>
        <w:t>Rapid cash-out and deposit-send: outbound movement following recent inflow or concentrated activity.</w:t>
      </w:r>
    </w:p>
    <w:p>
      <w:pPr>
        <w:pStyle w:val="ListBullet"/>
        <w:spacing w:after="100" w:line="264" w:lineRule="auto"/>
        <w:ind w:left="720" w:hanging="360"/>
      </w:pPr>
      <w:r>
        <w:rPr>
          <w:rFonts w:ascii="Calibri" w:hAnsi="Calibri"/>
          <w:color w:val="182238"/>
          <w:sz w:val="21"/>
        </w:rPr>
        <w:t>Single large, fan-in, fan-out and high-risk-country signals are independently attributable.</w:t>
      </w:r>
    </w:p>
    <w:p>
      <w:pPr>
        <w:pStyle w:val="ListBullet"/>
        <w:spacing w:after="100" w:line="264" w:lineRule="auto"/>
        <w:ind w:left="720" w:hanging="360"/>
      </w:pPr>
      <w:r>
        <w:rPr>
          <w:rFonts w:ascii="Calibri" w:hAnsi="Calibri"/>
          <w:color w:val="182238"/>
          <w:sz w:val="21"/>
        </w:rPr>
        <w:t>Only rules compatible with the requested pattern are applied.</w:t>
      </w:r>
    </w:p>
    <w:p>
      <w:pPr>
        <w:pStyle w:val="Heading1"/>
      </w:pPr>
      <w:r>
        <w:t>Statistical detector</w:t>
      </w:r>
    </w:p>
    <w:p>
      <w:pPr>
        <w:spacing w:after="120" w:line="264" w:lineRule="auto"/>
      </w:pPr>
      <w:r>
        <w:rPr>
          <w:rFonts w:ascii="Calibri" w:hAnsi="Calibri"/>
          <w:color w:val="182238"/>
          <w:sz w:val="22"/>
        </w:rPr>
        <w:t>Per-account amount deviation is measured with a Z-score. A second signal uses IQR limits calculated from SAML-D normal behaviour. The statistical score is the larger of normalized absolute Z-score and the IQR outlier flag.</w:t>
      </w:r>
    </w:p>
    <w:p>
      <w:pPr>
        <w:pStyle w:val="Heading1"/>
      </w:pPr>
      <w:r>
        <w:t>Isolation Forest</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1"/>
        </w:trPr>
        <w:tc>
          <w:tcPr>
            <w:tcW w:type="dxa" w:w="3300"/>
            <w:tcMar>
              <w:top w:w="80" w:type="dxa"/>
              <w:start w:w="120" w:type="dxa"/>
              <w:bottom w:w="80" w:type="dxa"/>
              <w:end w:w="120" w:type="dxa"/>
            </w:tcMar>
            <w:vAlign w:val="center"/>
            <w:shd w:fill="0B1930"/>
          </w:tcPr>
          <w:p>
            <w:pPr>
              <w:spacing w:after="0" w:line="240" w:lineRule="auto"/>
            </w:pPr>
            <w:r>
              <w:rPr>
                <w:rFonts w:ascii="Calibri" w:hAnsi="Calibri"/>
                <w:b/>
                <w:color w:val="FFFFFF"/>
                <w:sz w:val="18"/>
              </w:rPr>
              <w:t>Configuration</w:t>
            </w:r>
          </w:p>
        </w:tc>
        <w:tc>
          <w:tcPr>
            <w:tcW w:type="dxa" w:w="6060"/>
            <w:tcMar>
              <w:top w:w="80" w:type="dxa"/>
              <w:start w:w="120" w:type="dxa"/>
              <w:bottom w:w="80" w:type="dxa"/>
              <w:end w:w="120" w:type="dxa"/>
            </w:tcMar>
            <w:vAlign w:val="center"/>
            <w:shd w:fill="0B1930"/>
          </w:tcPr>
          <w:p>
            <w:pPr>
              <w:spacing w:after="0" w:line="240" w:lineRule="auto"/>
            </w:pPr>
            <w:r>
              <w:rPr>
                <w:rFonts w:ascii="Calibri" w:hAnsi="Calibri"/>
                <w:b/>
                <w:color w:val="FFFFFF"/>
                <w:sz w:val="18"/>
              </w:rPr>
              <w:t>Implemented value</w:t>
            </w:r>
          </w:p>
        </w:tc>
      </w:tr>
      <w:tr>
        <w:tc>
          <w:tcPr>
            <w:tcW w:type="dxa" w:w="3300"/>
            <w:tcMar>
              <w:top w:w="80" w:type="dxa"/>
              <w:start w:w="120" w:type="dxa"/>
              <w:bottom w:w="80" w:type="dxa"/>
              <w:end w:w="120" w:type="dxa"/>
            </w:tcMar>
            <w:vAlign w:val="center"/>
          </w:tcPr>
          <w:p>
            <w:pPr>
              <w:spacing w:after="0" w:line="240" w:lineRule="auto"/>
            </w:pPr>
            <w:r>
              <w:rPr>
                <w:rFonts w:ascii="Calibri" w:hAnsi="Calibri"/>
                <w:b w:val="0"/>
                <w:color w:val="182238"/>
                <w:sz w:val="18"/>
              </w:rPr>
              <w:t>Algorithm</w:t>
            </w:r>
          </w:p>
        </w:tc>
        <w:tc>
          <w:tcPr>
            <w:tcW w:type="dxa" w:w="6060"/>
            <w:tcMar>
              <w:top w:w="80" w:type="dxa"/>
              <w:start w:w="120" w:type="dxa"/>
              <w:bottom w:w="80" w:type="dxa"/>
              <w:end w:w="120" w:type="dxa"/>
            </w:tcMar>
            <w:vAlign w:val="center"/>
          </w:tcPr>
          <w:p>
            <w:pPr>
              <w:spacing w:after="0" w:line="240" w:lineRule="auto"/>
            </w:pPr>
            <w:r>
              <w:rPr>
                <w:rFonts w:ascii="Calibri" w:hAnsi="Calibri"/>
                <w:b w:val="0"/>
                <w:color w:val="182238"/>
                <w:sz w:val="18"/>
              </w:rPr>
              <w:t>scikit-learn Isolation Forest</w:t>
            </w:r>
          </w:p>
        </w:tc>
      </w:tr>
      <w:tr>
        <w:tc>
          <w:tcPr>
            <w:tcW w:type="dxa" w:w="33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Training source</w:t>
            </w:r>
          </w:p>
        </w:tc>
        <w:tc>
          <w:tcPr>
            <w:tcW w:type="dxa" w:w="60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SAML-D normal-behaviour sample</w:t>
            </w:r>
          </w:p>
        </w:tc>
      </w:tr>
      <w:tr>
        <w:tc>
          <w:tcPr>
            <w:tcW w:type="dxa" w:w="3300"/>
            <w:tcMar>
              <w:top w:w="80" w:type="dxa"/>
              <w:start w:w="120" w:type="dxa"/>
              <w:bottom w:w="80" w:type="dxa"/>
              <w:end w:w="120" w:type="dxa"/>
            </w:tcMar>
            <w:vAlign w:val="center"/>
          </w:tcPr>
          <w:p>
            <w:pPr>
              <w:spacing w:after="0" w:line="240" w:lineRule="auto"/>
            </w:pPr>
            <w:r>
              <w:rPr>
                <w:rFonts w:ascii="Calibri" w:hAnsi="Calibri"/>
                <w:b w:val="0"/>
                <w:color w:val="182238"/>
                <w:sz w:val="18"/>
              </w:rPr>
              <w:t>Training rows</w:t>
            </w:r>
          </w:p>
        </w:tc>
        <w:tc>
          <w:tcPr>
            <w:tcW w:type="dxa" w:w="6060"/>
            <w:tcMar>
              <w:top w:w="80" w:type="dxa"/>
              <w:start w:w="120" w:type="dxa"/>
              <w:bottom w:w="80" w:type="dxa"/>
              <w:end w:w="120" w:type="dxa"/>
            </w:tcMar>
            <w:vAlign w:val="center"/>
          </w:tcPr>
          <w:p>
            <w:pPr>
              <w:spacing w:after="0" w:line="240" w:lineRule="auto"/>
            </w:pPr>
            <w:r>
              <w:rPr>
                <w:rFonts w:ascii="Calibri" w:hAnsi="Calibri"/>
                <w:b w:val="0"/>
                <w:color w:val="182238"/>
                <w:sz w:val="18"/>
              </w:rPr>
              <w:t>50,000</w:t>
            </w:r>
          </w:p>
        </w:tc>
      </w:tr>
      <w:tr>
        <w:tc>
          <w:tcPr>
            <w:tcW w:type="dxa" w:w="33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Estimators</w:t>
            </w:r>
          </w:p>
        </w:tc>
        <w:tc>
          <w:tcPr>
            <w:tcW w:type="dxa" w:w="60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200</w:t>
            </w:r>
          </w:p>
        </w:tc>
      </w:tr>
      <w:tr>
        <w:tc>
          <w:tcPr>
            <w:tcW w:type="dxa" w:w="3300"/>
            <w:tcMar>
              <w:top w:w="80" w:type="dxa"/>
              <w:start w:w="120" w:type="dxa"/>
              <w:bottom w:w="80" w:type="dxa"/>
              <w:end w:w="120" w:type="dxa"/>
            </w:tcMar>
            <w:vAlign w:val="center"/>
          </w:tcPr>
          <w:p>
            <w:pPr>
              <w:spacing w:after="0" w:line="240" w:lineRule="auto"/>
            </w:pPr>
            <w:r>
              <w:rPr>
                <w:rFonts w:ascii="Calibri" w:hAnsi="Calibri"/>
                <w:b w:val="0"/>
                <w:color w:val="182238"/>
                <w:sz w:val="18"/>
              </w:rPr>
              <w:t>Contamination assumption</w:t>
            </w:r>
          </w:p>
        </w:tc>
        <w:tc>
          <w:tcPr>
            <w:tcW w:type="dxa" w:w="6060"/>
            <w:tcMar>
              <w:top w:w="80" w:type="dxa"/>
              <w:start w:w="120" w:type="dxa"/>
              <w:bottom w:w="80" w:type="dxa"/>
              <w:end w:w="120" w:type="dxa"/>
            </w:tcMar>
            <w:vAlign w:val="center"/>
          </w:tcPr>
          <w:p>
            <w:pPr>
              <w:spacing w:after="0" w:line="240" w:lineRule="auto"/>
            </w:pPr>
            <w:r>
              <w:rPr>
                <w:rFonts w:ascii="Calibri" w:hAnsi="Calibri"/>
                <w:b w:val="0"/>
                <w:color w:val="182238"/>
                <w:sz w:val="18"/>
              </w:rPr>
              <w:t>0.10%</w:t>
            </w:r>
          </w:p>
        </w:tc>
      </w:tr>
      <w:tr>
        <w:tc>
          <w:tcPr>
            <w:tcW w:type="dxa" w:w="33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Serving features</w:t>
            </w:r>
          </w:p>
        </w:tc>
        <w:tc>
          <w:tcPr>
            <w:tcW w:type="dxa" w:w="60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6</w:t>
            </w:r>
          </w:p>
        </w:tc>
      </w:tr>
      <w:tr>
        <w:tc>
          <w:tcPr>
            <w:tcW w:type="dxa" w:w="3300"/>
            <w:tcMar>
              <w:top w:w="80" w:type="dxa"/>
              <w:start w:w="120" w:type="dxa"/>
              <w:bottom w:w="80" w:type="dxa"/>
              <w:end w:w="120" w:type="dxa"/>
            </w:tcMar>
            <w:vAlign w:val="center"/>
          </w:tcPr>
          <w:p>
            <w:pPr>
              <w:spacing w:after="0" w:line="240" w:lineRule="auto"/>
            </w:pPr>
            <w:r>
              <w:rPr>
                <w:rFonts w:ascii="Calibri" w:hAnsi="Calibri"/>
                <w:b w:val="0"/>
                <w:color w:val="182238"/>
                <w:sz w:val="18"/>
              </w:rPr>
              <w:t>Normalization</w:t>
            </w:r>
          </w:p>
        </w:tc>
        <w:tc>
          <w:tcPr>
            <w:tcW w:type="dxa" w:w="6060"/>
            <w:tcMar>
              <w:top w:w="80" w:type="dxa"/>
              <w:start w:w="120" w:type="dxa"/>
              <w:bottom w:w="80" w:type="dxa"/>
              <w:end w:w="120" w:type="dxa"/>
            </w:tcMar>
            <w:vAlign w:val="center"/>
          </w:tcPr>
          <w:p>
            <w:pPr>
              <w:spacing w:after="0" w:line="240" w:lineRule="auto"/>
            </w:pPr>
            <w:r>
              <w:rPr>
                <w:rFonts w:ascii="Calibri" w:hAnsi="Calibri"/>
                <w:b w:val="0"/>
                <w:color w:val="182238"/>
                <w:sz w:val="18"/>
              </w:rPr>
              <w:t>Min-max over training anomaly-score range</w:t>
            </w:r>
          </w:p>
        </w:tc>
      </w:tr>
      <w:tr>
        <w:tc>
          <w:tcPr>
            <w:tcW w:type="dxa" w:w="33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Drift indicator</w:t>
            </w:r>
          </w:p>
        </w:tc>
        <w:tc>
          <w:tcPr>
            <w:tcW w:type="dxa" w:w="60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Population Stability Index</w:t>
            </w:r>
          </w:p>
        </w:tc>
      </w:tr>
    </w:tbl>
    <w:p>
      <w:pPr>
        <w:spacing w:after="20"/>
      </w:pPr>
    </w:p>
    <w:p>
      <w:pPr>
        <w:pStyle w:val="Heading1"/>
      </w:pPr>
      <w:r>
        <w:t>Graph analysis</w:t>
      </w:r>
    </w:p>
    <w:p>
      <w:pPr>
        <w:spacing w:after="120" w:line="264" w:lineRule="auto"/>
      </w:pPr>
      <w:r>
        <w:rPr>
          <w:rFonts w:ascii="Calibri" w:hAnsi="Calibri"/>
          <w:color w:val="182238"/>
          <w:sz w:val="22"/>
        </w:rPr>
        <w:t>The optional NetworkX tool builds a directed account graph and reports bounded cycles of length two to four, fan-in, fan-out, bipartite structures, gather-scatter and scatter-gather patterns. Edge, result and cycle-search limits prevent unbounded graph work.</w:t>
      </w:r>
    </w:p>
    <w:p>
      <w:pPr>
        <w:keepNext/>
        <w:pageBreakBefore/>
        <w:spacing w:before="0" w:after="100"/>
      </w:pPr>
      <w:r>
        <w:rPr>
          <w:rFonts w:ascii="Calibri" w:hAnsi="Calibri"/>
          <w:b/>
          <w:color w:val="0B1930"/>
          <w:sz w:val="50"/>
        </w:rPr>
        <w:t>6. Risk Scoring, Explainability and Escalation</w:t>
      </w:r>
    </w:p>
    <w:p>
      <w:pPr>
        <w:pStyle w:val="Heading1"/>
      </w:pPr>
      <w:r>
        <w:t>Detector-aware score fusion</w:t>
      </w:r>
    </w:p>
    <w:tbl>
      <w:tblPr>
        <w:tblStyle w:val="TableGrid"/>
        <w:tblW w:type="dxa" w:w="9360"/>
        <w:jc w:val="center"/>
        <w:tblLayout w:type="fixed"/>
        <w:tblLook w:firstColumn="1" w:firstRow="1" w:lastColumn="0" w:lastRow="0" w:noHBand="0" w:noVBand="1" w:val="04A0"/>
        <w:tblInd w:w="120" w:type="dxa"/>
      </w:tblPr>
      <w:tblGrid>
        <w:gridCol w:w="2750"/>
        <w:gridCol w:w="1800"/>
        <w:gridCol w:w="4810"/>
      </w:tblGrid>
      <w:tr>
        <w:trPr>
          <w:tblHeader w:val="1"/>
        </w:trPr>
        <w:tc>
          <w:tcPr>
            <w:tcW w:type="dxa" w:w="2750"/>
            <w:tcMar>
              <w:top w:w="80" w:type="dxa"/>
              <w:start w:w="120" w:type="dxa"/>
              <w:bottom w:w="80" w:type="dxa"/>
              <w:end w:w="120" w:type="dxa"/>
            </w:tcMar>
            <w:vAlign w:val="center"/>
            <w:shd w:fill="0B1930"/>
          </w:tcPr>
          <w:p>
            <w:pPr>
              <w:spacing w:after="0" w:line="240" w:lineRule="auto"/>
            </w:pPr>
            <w:r>
              <w:rPr>
                <w:rFonts w:ascii="Calibri" w:hAnsi="Calibri"/>
                <w:b/>
                <w:color w:val="FFFFFF"/>
                <w:sz w:val="18"/>
              </w:rPr>
              <w:t>Signal</w:t>
            </w:r>
          </w:p>
        </w:tc>
        <w:tc>
          <w:tcPr>
            <w:tcW w:type="dxa" w:w="1800"/>
            <w:tcMar>
              <w:top w:w="80" w:type="dxa"/>
              <w:start w:w="120" w:type="dxa"/>
              <w:bottom w:w="80" w:type="dxa"/>
              <w:end w:w="120" w:type="dxa"/>
            </w:tcMar>
            <w:vAlign w:val="center"/>
            <w:shd w:fill="0B1930"/>
          </w:tcPr>
          <w:p>
            <w:pPr>
              <w:spacing w:after="0" w:line="240" w:lineRule="auto"/>
            </w:pPr>
            <w:r>
              <w:rPr>
                <w:rFonts w:ascii="Calibri" w:hAnsi="Calibri"/>
                <w:b/>
                <w:color w:val="FFFFFF"/>
                <w:sz w:val="18"/>
              </w:rPr>
              <w:t>Base weight</w:t>
            </w:r>
          </w:p>
        </w:tc>
        <w:tc>
          <w:tcPr>
            <w:tcW w:type="dxa" w:w="4810"/>
            <w:tcMar>
              <w:top w:w="80" w:type="dxa"/>
              <w:start w:w="120" w:type="dxa"/>
              <w:bottom w:w="80" w:type="dxa"/>
              <w:end w:w="120" w:type="dxa"/>
            </w:tcMar>
            <w:vAlign w:val="center"/>
            <w:shd w:fill="0B1930"/>
          </w:tcPr>
          <w:p>
            <w:pPr>
              <w:spacing w:after="0" w:line="240" w:lineRule="auto"/>
            </w:pPr>
            <w:r>
              <w:rPr>
                <w:rFonts w:ascii="Calibri" w:hAnsi="Calibri"/>
                <w:b/>
                <w:color w:val="FFFFFF"/>
                <w:sz w:val="18"/>
              </w:rPr>
              <w:t>Decision behavior</w:t>
            </w:r>
          </w:p>
        </w:tc>
      </w:tr>
      <w:tr>
        <w:tc>
          <w:tcPr>
            <w:tcW w:type="dxa" w:w="2750"/>
            <w:tcMar>
              <w:top w:w="80" w:type="dxa"/>
              <w:start w:w="120" w:type="dxa"/>
              <w:bottom w:w="80" w:type="dxa"/>
              <w:end w:w="120" w:type="dxa"/>
            </w:tcMar>
            <w:vAlign w:val="center"/>
          </w:tcPr>
          <w:p>
            <w:pPr>
              <w:spacing w:after="0" w:line="240" w:lineRule="auto"/>
            </w:pPr>
            <w:r>
              <w:rPr>
                <w:rFonts w:ascii="Calibri" w:hAnsi="Calibri"/>
                <w:b w:val="0"/>
                <w:color w:val="182238"/>
                <w:sz w:val="18"/>
              </w:rPr>
              <w:t>Rule engine</w:t>
            </w:r>
          </w:p>
        </w:tc>
        <w:tc>
          <w:tcPr>
            <w:tcW w:type="dxa" w:w="1800"/>
            <w:tcMar>
              <w:top w:w="80" w:type="dxa"/>
              <w:start w:w="120" w:type="dxa"/>
              <w:bottom w:w="80" w:type="dxa"/>
              <w:end w:w="120" w:type="dxa"/>
            </w:tcMar>
            <w:vAlign w:val="center"/>
          </w:tcPr>
          <w:p>
            <w:pPr>
              <w:spacing w:after="0" w:line="240" w:lineRule="auto"/>
            </w:pPr>
            <w:r>
              <w:rPr>
                <w:rFonts w:ascii="Calibri" w:hAnsi="Calibri"/>
                <w:b w:val="0"/>
                <w:color w:val="182238"/>
                <w:sz w:val="18"/>
              </w:rPr>
              <w:t>40%</w:t>
            </w:r>
          </w:p>
        </w:tc>
        <w:tc>
          <w:tcPr>
            <w:tcW w:type="dxa" w:w="4810"/>
            <w:tcMar>
              <w:top w:w="80" w:type="dxa"/>
              <w:start w:w="120" w:type="dxa"/>
              <w:bottom w:w="80" w:type="dxa"/>
              <w:end w:w="120" w:type="dxa"/>
            </w:tcMar>
            <w:vAlign w:val="center"/>
          </w:tcPr>
          <w:p>
            <w:pPr>
              <w:spacing w:after="0" w:line="240" w:lineRule="auto"/>
            </w:pPr>
            <w:r>
              <w:rPr>
                <w:rFonts w:ascii="Calibri" w:hAnsi="Calibri"/>
                <w:b w:val="0"/>
                <w:color w:val="182238"/>
                <w:sz w:val="18"/>
              </w:rPr>
              <w:t>Auditable known-typology evidence</w:t>
            </w:r>
          </w:p>
        </w:tc>
      </w:tr>
      <w:tr>
        <w:tc>
          <w:tcPr>
            <w:tcW w:type="dxa" w:w="275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Statistical detector</w:t>
            </w:r>
          </w:p>
        </w:tc>
        <w:tc>
          <w:tcPr>
            <w:tcW w:type="dxa" w:w="18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25%</w:t>
            </w:r>
          </w:p>
        </w:tc>
        <w:tc>
          <w:tcPr>
            <w:tcW w:type="dxa" w:w="481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Deviation from account or normal-data baseline</w:t>
            </w:r>
          </w:p>
        </w:tc>
      </w:tr>
      <w:tr>
        <w:tc>
          <w:tcPr>
            <w:tcW w:type="dxa" w:w="2750"/>
            <w:tcMar>
              <w:top w:w="80" w:type="dxa"/>
              <w:start w:w="120" w:type="dxa"/>
              <w:bottom w:w="80" w:type="dxa"/>
              <w:end w:w="120" w:type="dxa"/>
            </w:tcMar>
            <w:vAlign w:val="center"/>
          </w:tcPr>
          <w:p>
            <w:pPr>
              <w:spacing w:after="0" w:line="240" w:lineRule="auto"/>
            </w:pPr>
            <w:r>
              <w:rPr>
                <w:rFonts w:ascii="Calibri" w:hAnsi="Calibri"/>
                <w:b w:val="0"/>
                <w:color w:val="182238"/>
                <w:sz w:val="18"/>
              </w:rPr>
              <w:t>Isolation Forest</w:t>
            </w:r>
          </w:p>
        </w:tc>
        <w:tc>
          <w:tcPr>
            <w:tcW w:type="dxa" w:w="1800"/>
            <w:tcMar>
              <w:top w:w="80" w:type="dxa"/>
              <w:start w:w="120" w:type="dxa"/>
              <w:bottom w:w="80" w:type="dxa"/>
              <w:end w:w="120" w:type="dxa"/>
            </w:tcMar>
            <w:vAlign w:val="center"/>
          </w:tcPr>
          <w:p>
            <w:pPr>
              <w:spacing w:after="0" w:line="240" w:lineRule="auto"/>
            </w:pPr>
            <w:r>
              <w:rPr>
                <w:rFonts w:ascii="Calibri" w:hAnsi="Calibri"/>
                <w:b w:val="0"/>
                <w:color w:val="182238"/>
                <w:sz w:val="18"/>
              </w:rPr>
              <w:t>35%</w:t>
            </w:r>
          </w:p>
        </w:tc>
        <w:tc>
          <w:tcPr>
            <w:tcW w:type="dxa" w:w="4810"/>
            <w:tcMar>
              <w:top w:w="80" w:type="dxa"/>
              <w:start w:w="120" w:type="dxa"/>
              <w:bottom w:w="80" w:type="dxa"/>
              <w:end w:w="120" w:type="dxa"/>
            </w:tcMar>
            <w:vAlign w:val="center"/>
          </w:tcPr>
          <w:p>
            <w:pPr>
              <w:spacing w:after="0" w:line="240" w:lineRule="auto"/>
            </w:pPr>
            <w:r>
              <w:rPr>
                <w:rFonts w:ascii="Calibri" w:hAnsi="Calibri"/>
                <w:b w:val="0"/>
                <w:color w:val="182238"/>
                <w:sz w:val="18"/>
              </w:rPr>
              <w:t>Multivariate anomaly evidence</w:t>
            </w:r>
          </w:p>
        </w:tc>
      </w:tr>
      <w:tr>
        <w:tc>
          <w:tcPr>
            <w:tcW w:type="dxa" w:w="275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Country context</w:t>
            </w:r>
          </w:p>
        </w:tc>
        <w:tc>
          <w:tcPr>
            <w:tcW w:type="dxa" w:w="18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+0.10 maximum</w:t>
            </w:r>
          </w:p>
        </w:tc>
        <w:tc>
          <w:tcPr>
            <w:tcW w:type="dxa" w:w="481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Explicit policy uplift when supported by available country fields</w:t>
            </w:r>
          </w:p>
        </w:tc>
      </w:tr>
    </w:tbl>
    <w:p>
      <w:pPr>
        <w:spacing w:after="20"/>
      </w:pPr>
    </w:p>
    <w:p>
      <w:pPr>
        <w:spacing w:after="120" w:line="264" w:lineRule="auto"/>
      </w:pPr>
      <w:r>
        <w:rPr>
          <w:rFonts w:ascii="Calibri" w:hAnsi="Calibri"/>
          <w:color w:val="182238"/>
          <w:sz w:val="22"/>
        </w:rPr>
        <w:t>Weights are renormalized over detectors that actually ran. A skipped detector contributes neither a zero nor its unused weight, preventing a focused rule-only plan from being artificially diluted. Scores are clipped to the interval from zero to one.</w:t>
      </w:r>
    </w:p>
    <w:tbl>
      <w:tblPr>
        <w:tblStyle w:val="TableGrid"/>
        <w:tblW w:type="dxa" w:w="9360"/>
        <w:jc w:val="center"/>
        <w:tblLayout w:type="fixed"/>
        <w:tblLook w:firstColumn="1" w:firstRow="1" w:lastColumn="0" w:lastRow="0" w:noHBand="0" w:noVBand="1" w:val="04A0"/>
        <w:tblInd w:w="120" w:type="dxa"/>
      </w:tblPr>
      <w:tblGrid>
        <w:gridCol w:w="2500"/>
        <w:gridCol w:w="2600"/>
        <w:gridCol w:w="4260"/>
      </w:tblGrid>
      <w:tr>
        <w:trPr>
          <w:tblHeader w:val="1"/>
        </w:trPr>
        <w:tc>
          <w:tcPr>
            <w:tcW w:type="dxa" w:w="2500"/>
            <w:tcMar>
              <w:top w:w="80" w:type="dxa"/>
              <w:start w:w="120" w:type="dxa"/>
              <w:bottom w:w="80" w:type="dxa"/>
              <w:end w:w="120" w:type="dxa"/>
            </w:tcMar>
            <w:vAlign w:val="center"/>
            <w:shd w:fill="0B1930"/>
          </w:tcPr>
          <w:p>
            <w:pPr>
              <w:spacing w:after="0" w:line="240" w:lineRule="auto"/>
            </w:pPr>
            <w:r>
              <w:rPr>
                <w:rFonts w:ascii="Calibri" w:hAnsi="Calibri"/>
                <w:b/>
                <w:color w:val="FFFFFF"/>
                <w:sz w:val="18"/>
              </w:rPr>
              <w:t>Score</w:t>
            </w:r>
          </w:p>
        </w:tc>
        <w:tc>
          <w:tcPr>
            <w:tcW w:type="dxa" w:w="2600"/>
            <w:tcMar>
              <w:top w:w="80" w:type="dxa"/>
              <w:start w:w="120" w:type="dxa"/>
              <w:bottom w:w="80" w:type="dxa"/>
              <w:end w:w="120" w:type="dxa"/>
            </w:tcMar>
            <w:vAlign w:val="center"/>
            <w:shd w:fill="0B1930"/>
          </w:tcPr>
          <w:p>
            <w:pPr>
              <w:spacing w:after="0" w:line="240" w:lineRule="auto"/>
            </w:pPr>
            <w:r>
              <w:rPr>
                <w:rFonts w:ascii="Calibri" w:hAnsi="Calibri"/>
                <w:b/>
                <w:color w:val="FFFFFF"/>
                <w:sz w:val="18"/>
              </w:rPr>
              <w:t>Risk band</w:t>
            </w:r>
          </w:p>
        </w:tc>
        <w:tc>
          <w:tcPr>
            <w:tcW w:type="dxa" w:w="4260"/>
            <w:tcMar>
              <w:top w:w="80" w:type="dxa"/>
              <w:start w:w="120" w:type="dxa"/>
              <w:bottom w:w="80" w:type="dxa"/>
              <w:end w:w="120" w:type="dxa"/>
            </w:tcMar>
            <w:vAlign w:val="center"/>
            <w:shd w:fill="0B1930"/>
          </w:tcPr>
          <w:p>
            <w:pPr>
              <w:spacing w:after="0" w:line="240" w:lineRule="auto"/>
            </w:pPr>
            <w:r>
              <w:rPr>
                <w:rFonts w:ascii="Calibri" w:hAnsi="Calibri"/>
                <w:b/>
                <w:color w:val="FFFFFF"/>
                <w:sz w:val="18"/>
              </w:rPr>
              <w:t>Operational action</w:t>
            </w:r>
          </w:p>
        </w:tc>
      </w:tr>
      <w:tr>
        <w:tc>
          <w:tcPr>
            <w:tcW w:type="dxa" w:w="2500"/>
            <w:tcMar>
              <w:top w:w="80" w:type="dxa"/>
              <w:start w:w="120" w:type="dxa"/>
              <w:bottom w:w="80" w:type="dxa"/>
              <w:end w:w="120" w:type="dxa"/>
            </w:tcMar>
            <w:vAlign w:val="center"/>
          </w:tcPr>
          <w:p>
            <w:pPr>
              <w:spacing w:after="0" w:line="240" w:lineRule="auto"/>
            </w:pPr>
            <w:r>
              <w:rPr>
                <w:rFonts w:ascii="Calibri" w:hAnsi="Calibri"/>
                <w:b w:val="0"/>
                <w:color w:val="182238"/>
                <w:sz w:val="18"/>
              </w:rPr>
              <w:t>Below 0.35</w:t>
            </w:r>
          </w:p>
        </w:tc>
        <w:tc>
          <w:tcPr>
            <w:tcW w:type="dxa" w:w="2600"/>
            <w:tcMar>
              <w:top w:w="80" w:type="dxa"/>
              <w:start w:w="120" w:type="dxa"/>
              <w:bottom w:w="80" w:type="dxa"/>
              <w:end w:w="120" w:type="dxa"/>
            </w:tcMar>
            <w:vAlign w:val="center"/>
          </w:tcPr>
          <w:p>
            <w:pPr>
              <w:spacing w:after="0" w:line="240" w:lineRule="auto"/>
            </w:pPr>
            <w:r>
              <w:rPr>
                <w:rFonts w:ascii="Calibri" w:hAnsi="Calibri"/>
                <w:b w:val="0"/>
                <w:color w:val="182238"/>
                <w:sz w:val="18"/>
              </w:rPr>
              <w:t>Low</w:t>
            </w:r>
          </w:p>
        </w:tc>
        <w:tc>
          <w:tcPr>
            <w:tcW w:type="dxa" w:w="4260"/>
            <w:tcMar>
              <w:top w:w="80" w:type="dxa"/>
              <w:start w:w="120" w:type="dxa"/>
              <w:bottom w:w="80" w:type="dxa"/>
              <w:end w:w="120" w:type="dxa"/>
            </w:tcMar>
            <w:vAlign w:val="center"/>
          </w:tcPr>
          <w:p>
            <w:pPr>
              <w:spacing w:after="0" w:line="240" w:lineRule="auto"/>
            </w:pPr>
            <w:r>
              <w:rPr>
                <w:rFonts w:ascii="Calibri" w:hAnsi="Calibri"/>
                <w:b w:val="0"/>
                <w:color w:val="182238"/>
                <w:sz w:val="18"/>
              </w:rPr>
              <w:t>Monitor below 0.40</w:t>
            </w:r>
          </w:p>
        </w:tc>
      </w:tr>
      <w:tr>
        <w:tc>
          <w:tcPr>
            <w:tcW w:type="dxa" w:w="25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0.35 to below 0.70</w:t>
            </w:r>
          </w:p>
        </w:tc>
        <w:tc>
          <w:tcPr>
            <w:tcW w:type="dxa" w:w="26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Medium</w:t>
            </w:r>
          </w:p>
        </w:tc>
        <w:tc>
          <w:tcPr>
            <w:tcW w:type="dxa" w:w="42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Review from 0.40; otherwise monitor</w:t>
            </w:r>
          </w:p>
        </w:tc>
      </w:tr>
      <w:tr>
        <w:tc>
          <w:tcPr>
            <w:tcW w:type="dxa" w:w="2500"/>
            <w:tcMar>
              <w:top w:w="80" w:type="dxa"/>
              <w:start w:w="120" w:type="dxa"/>
              <w:bottom w:w="80" w:type="dxa"/>
              <w:end w:w="120" w:type="dxa"/>
            </w:tcMar>
            <w:vAlign w:val="center"/>
          </w:tcPr>
          <w:p>
            <w:pPr>
              <w:spacing w:after="0" w:line="240" w:lineRule="auto"/>
            </w:pPr>
            <w:r>
              <w:rPr>
                <w:rFonts w:ascii="Calibri" w:hAnsi="Calibri"/>
                <w:b w:val="0"/>
                <w:color w:val="182238"/>
                <w:sz w:val="18"/>
              </w:rPr>
              <w:t>0.70 and above</w:t>
            </w:r>
          </w:p>
        </w:tc>
        <w:tc>
          <w:tcPr>
            <w:tcW w:type="dxa" w:w="2600"/>
            <w:tcMar>
              <w:top w:w="80" w:type="dxa"/>
              <w:start w:w="120" w:type="dxa"/>
              <w:bottom w:w="80" w:type="dxa"/>
              <w:end w:w="120" w:type="dxa"/>
            </w:tcMar>
            <w:vAlign w:val="center"/>
          </w:tcPr>
          <w:p>
            <w:pPr>
              <w:spacing w:after="0" w:line="240" w:lineRule="auto"/>
            </w:pPr>
            <w:r>
              <w:rPr>
                <w:rFonts w:ascii="Calibri" w:hAnsi="Calibri"/>
                <w:b w:val="0"/>
                <w:color w:val="182238"/>
                <w:sz w:val="18"/>
              </w:rPr>
              <w:t>High</w:t>
            </w:r>
          </w:p>
        </w:tc>
        <w:tc>
          <w:tcPr>
            <w:tcW w:type="dxa" w:w="4260"/>
            <w:tcMar>
              <w:top w:w="80" w:type="dxa"/>
              <w:start w:w="120" w:type="dxa"/>
              <w:bottom w:w="80" w:type="dxa"/>
              <w:end w:w="120" w:type="dxa"/>
            </w:tcMar>
            <w:vAlign w:val="center"/>
          </w:tcPr>
          <w:p>
            <w:pPr>
              <w:spacing w:after="0" w:line="240" w:lineRule="auto"/>
            </w:pPr>
            <w:r>
              <w:rPr>
                <w:rFonts w:ascii="Calibri" w:hAnsi="Calibri"/>
                <w:b w:val="0"/>
                <w:color w:val="182238"/>
                <w:sz w:val="18"/>
              </w:rPr>
              <w:t>Report recommendation</w:t>
            </w:r>
          </w:p>
        </w:tc>
      </w:tr>
    </w:tbl>
    <w:p>
      <w:pPr>
        <w:spacing w:after="20"/>
      </w:pPr>
    </w:p>
    <w:p>
      <w:pPr>
        <w:pStyle w:val="Heading1"/>
      </w:pPr>
      <w:r>
        <w:t>Grounded explanation</w:t>
      </w:r>
    </w:p>
    <w:p>
      <w:pPr>
        <w:spacing w:after="120" w:line="264" w:lineRule="auto"/>
      </w:pPr>
      <w:r>
        <w:rPr>
          <w:rFonts w:ascii="Calibri" w:hAnsi="Calibri"/>
          <w:color w:val="182238"/>
          <w:sz w:val="22"/>
        </w:rPr>
        <w:t>The explanation layer receives the user query, intent, tool decisions, computed features, rule and detector scores, risk contributions, top transactions and retrieved AML knowledge. Groq can produce the narrative. A numeric validator checks model-generated numbers against the supplied evidence and retries once when a claim is unsupported. Deterministic templates provide a safe fallback.</w:t>
      </w:r>
    </w:p>
    <w:p>
      <w:pPr>
        <w:keepLines/>
        <w:spacing w:before="80" w:after="160" w:line="259" w:lineRule="auto"/>
        <w:ind w:left="115" w:right="115"/>
        <w:shd w:fill="FFF4E5"/>
        <w:pBdr>
          <w:top w:val="single" w:sz="2" w:space="5" w:color="FFF4E5"/>
          <w:left w:val="single" w:sz="2" w:space="5" w:color="FFF4E5"/>
          <w:bottom w:val="single" w:sz="2" w:space="5" w:color="FFF4E5"/>
          <w:right w:val="single" w:sz="2" w:space="5" w:color="FFF4E5"/>
        </w:pBdr>
      </w:pPr>
      <w:r>
        <w:rPr>
          <w:rFonts w:ascii="Calibri" w:hAnsi="Calibri"/>
          <w:b/>
          <w:color w:val="2F6BFF"/>
          <w:sz w:val="18"/>
        </w:rPr>
        <w:t>COMPLIANCE GUARDRAIL</w:t>
        <w:br/>
      </w:r>
      <w:r>
        <w:rPr>
          <w:rFonts w:ascii="Calibri" w:hAnsi="Calibri"/>
          <w:color w:val="182238"/>
          <w:sz w:val="21"/>
        </w:rPr>
        <w:t>Sentinel produces decision support and reviewer-ready SAR drafts. It does not determine that money laundering occurred and does not autonomously file a SAR or STR.</w:t>
      </w:r>
    </w:p>
    <w:p>
      <w:pPr>
        <w:keepNext/>
        <w:pageBreakBefore/>
        <w:spacing w:before="0" w:after="100"/>
      </w:pPr>
      <w:r>
        <w:rPr>
          <w:rFonts w:ascii="Calibri" w:hAnsi="Calibri"/>
          <w:b/>
          <w:color w:val="0B1930"/>
          <w:sz w:val="50"/>
        </w:rPr>
        <w:t>7. Backend, APIs and Database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1"/>
        </w:trPr>
        <w:tc>
          <w:tcPr>
            <w:tcW w:type="dxa" w:w="2500"/>
            <w:tcMar>
              <w:top w:w="80" w:type="dxa"/>
              <w:start w:w="120" w:type="dxa"/>
              <w:bottom w:w="80" w:type="dxa"/>
              <w:end w:w="120" w:type="dxa"/>
            </w:tcMar>
            <w:vAlign w:val="center"/>
            <w:shd w:fill="0B1930"/>
          </w:tcPr>
          <w:p>
            <w:pPr>
              <w:spacing w:after="0" w:line="240" w:lineRule="auto"/>
            </w:pPr>
            <w:r>
              <w:rPr>
                <w:rFonts w:ascii="Calibri" w:hAnsi="Calibri"/>
                <w:b/>
                <w:color w:val="FFFFFF"/>
                <w:sz w:val="18"/>
              </w:rPr>
              <w:t>Layer</w:t>
            </w:r>
          </w:p>
        </w:tc>
        <w:tc>
          <w:tcPr>
            <w:tcW w:type="dxa" w:w="6860"/>
            <w:tcMar>
              <w:top w:w="80" w:type="dxa"/>
              <w:start w:w="120" w:type="dxa"/>
              <w:bottom w:w="80" w:type="dxa"/>
              <w:end w:w="120" w:type="dxa"/>
            </w:tcMar>
            <w:vAlign w:val="center"/>
            <w:shd w:fill="0B1930"/>
          </w:tcPr>
          <w:p>
            <w:pPr>
              <w:spacing w:after="0" w:line="240" w:lineRule="auto"/>
            </w:pPr>
            <w:r>
              <w:rPr>
                <w:rFonts w:ascii="Calibri" w:hAnsi="Calibri"/>
                <w:b/>
                <w:color w:val="FFFFFF"/>
                <w:sz w:val="18"/>
              </w:rPr>
              <w:t>Implementation</w:t>
            </w:r>
          </w:p>
        </w:tc>
      </w:tr>
      <w:tr>
        <w:tc>
          <w:tcPr>
            <w:tcW w:type="dxa" w:w="2500"/>
            <w:tcMar>
              <w:top w:w="80" w:type="dxa"/>
              <w:start w:w="120" w:type="dxa"/>
              <w:bottom w:w="80" w:type="dxa"/>
              <w:end w:w="120" w:type="dxa"/>
            </w:tcMar>
            <w:vAlign w:val="center"/>
          </w:tcPr>
          <w:p>
            <w:pPr>
              <w:spacing w:after="0" w:line="240" w:lineRule="auto"/>
            </w:pPr>
            <w:r>
              <w:rPr>
                <w:rFonts w:ascii="Calibri" w:hAnsi="Calibri"/>
                <w:b w:val="0"/>
                <w:color w:val="182238"/>
                <w:sz w:val="18"/>
              </w:rPr>
              <w:t>Service</w:t>
            </w:r>
          </w:p>
        </w:tc>
        <w:tc>
          <w:tcPr>
            <w:tcW w:type="dxa" w:w="6860"/>
            <w:tcMar>
              <w:top w:w="80" w:type="dxa"/>
              <w:start w:w="120" w:type="dxa"/>
              <w:bottom w:w="80" w:type="dxa"/>
              <w:end w:w="120" w:type="dxa"/>
            </w:tcMar>
            <w:vAlign w:val="center"/>
          </w:tcPr>
          <w:p>
            <w:pPr>
              <w:spacing w:after="0" w:line="240" w:lineRule="auto"/>
            </w:pPr>
            <w:r>
              <w:rPr>
                <w:rFonts w:ascii="Calibri" w:hAnsi="Calibri"/>
                <w:b w:val="0"/>
                <w:color w:val="182238"/>
                <w:sz w:val="18"/>
              </w:rPr>
              <w:t>FastAPI 0.111 with Uvicorn and Pydantic contracts</w:t>
            </w:r>
          </w:p>
        </w:tc>
      </w:tr>
      <w:tr>
        <w:tc>
          <w:tcPr>
            <w:tcW w:type="dxa" w:w="25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Analytical database</w:t>
            </w:r>
          </w:p>
        </w:tc>
        <w:tc>
          <w:tcPr>
            <w:tcW w:type="dxa" w:w="68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DuckDB with parameterized filters and predicate pushdown</w:t>
            </w:r>
          </w:p>
        </w:tc>
      </w:tr>
      <w:tr>
        <w:tc>
          <w:tcPr>
            <w:tcW w:type="dxa" w:w="2500"/>
            <w:tcMar>
              <w:top w:w="80" w:type="dxa"/>
              <w:start w:w="120" w:type="dxa"/>
              <w:bottom w:w="80" w:type="dxa"/>
              <w:end w:w="120" w:type="dxa"/>
            </w:tcMar>
            <w:vAlign w:val="center"/>
          </w:tcPr>
          <w:p>
            <w:pPr>
              <w:spacing w:after="0" w:line="240" w:lineRule="auto"/>
            </w:pPr>
            <w:r>
              <w:rPr>
                <w:rFonts w:ascii="Calibri" w:hAnsi="Calibri"/>
                <w:b w:val="0"/>
                <w:color w:val="182238"/>
                <w:sz w:val="18"/>
              </w:rPr>
              <w:t>Data processing</w:t>
            </w:r>
          </w:p>
        </w:tc>
        <w:tc>
          <w:tcPr>
            <w:tcW w:type="dxa" w:w="6860"/>
            <w:tcMar>
              <w:top w:w="80" w:type="dxa"/>
              <w:start w:w="120" w:type="dxa"/>
              <w:bottom w:w="80" w:type="dxa"/>
              <w:end w:w="120" w:type="dxa"/>
            </w:tcMar>
            <w:vAlign w:val="center"/>
          </w:tcPr>
          <w:p>
            <w:pPr>
              <w:spacing w:after="0" w:line="240" w:lineRule="auto"/>
            </w:pPr>
            <w:r>
              <w:rPr>
                <w:rFonts w:ascii="Calibri" w:hAnsi="Calibri"/>
                <w:b w:val="0"/>
                <w:color w:val="182238"/>
                <w:sz w:val="18"/>
              </w:rPr>
              <w:t>Pandas, NumPy, PyArrow and SciPy</w:t>
            </w:r>
          </w:p>
        </w:tc>
      </w:tr>
      <w:tr>
        <w:tc>
          <w:tcPr>
            <w:tcW w:type="dxa" w:w="25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AI integration</w:t>
            </w:r>
          </w:p>
        </w:tc>
        <w:tc>
          <w:tcPr>
            <w:tcW w:type="dxa" w:w="68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Groq JSON-mode calls with Tenacity retries and deterministic fallback</w:t>
            </w:r>
          </w:p>
        </w:tc>
      </w:tr>
      <w:tr>
        <w:tc>
          <w:tcPr>
            <w:tcW w:type="dxa" w:w="2500"/>
            <w:tcMar>
              <w:top w:w="80" w:type="dxa"/>
              <w:start w:w="120" w:type="dxa"/>
              <w:bottom w:w="80" w:type="dxa"/>
              <w:end w:w="120" w:type="dxa"/>
            </w:tcMar>
            <w:vAlign w:val="center"/>
          </w:tcPr>
          <w:p>
            <w:pPr>
              <w:spacing w:after="0" w:line="240" w:lineRule="auto"/>
            </w:pPr>
            <w:r>
              <w:rPr>
                <w:rFonts w:ascii="Calibri" w:hAnsi="Calibri"/>
                <w:b w:val="0"/>
                <w:color w:val="182238"/>
                <w:sz w:val="18"/>
              </w:rPr>
              <w:t>ML and graph</w:t>
            </w:r>
          </w:p>
        </w:tc>
        <w:tc>
          <w:tcPr>
            <w:tcW w:type="dxa" w:w="6860"/>
            <w:tcMar>
              <w:top w:w="80" w:type="dxa"/>
              <w:start w:w="120" w:type="dxa"/>
              <w:bottom w:w="80" w:type="dxa"/>
              <w:end w:w="120" w:type="dxa"/>
            </w:tcMar>
            <w:vAlign w:val="center"/>
          </w:tcPr>
          <w:p>
            <w:pPr>
              <w:spacing w:after="0" w:line="240" w:lineRule="auto"/>
            </w:pPr>
            <w:r>
              <w:rPr>
                <w:rFonts w:ascii="Calibri" w:hAnsi="Calibri"/>
                <w:b w:val="0"/>
                <w:color w:val="182238"/>
                <w:sz w:val="18"/>
              </w:rPr>
              <w:t>scikit-learn Isolation Forest and NetworkX</w:t>
            </w:r>
          </w:p>
        </w:tc>
      </w:tr>
      <w:tr>
        <w:tc>
          <w:tcPr>
            <w:tcW w:type="dxa" w:w="25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Exports</w:t>
            </w:r>
          </w:p>
        </w:tc>
        <w:tc>
          <w:tcPr>
            <w:tcW w:type="dxa" w:w="68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JSON, CSV, XLSX, Markdown, TXT and PDF</w:t>
            </w:r>
          </w:p>
        </w:tc>
      </w:tr>
      <w:tr>
        <w:tc>
          <w:tcPr>
            <w:tcW w:type="dxa" w:w="2500"/>
            <w:tcMar>
              <w:top w:w="80" w:type="dxa"/>
              <w:start w:w="120" w:type="dxa"/>
              <w:bottom w:w="80" w:type="dxa"/>
              <w:end w:w="120" w:type="dxa"/>
            </w:tcMar>
            <w:vAlign w:val="center"/>
          </w:tcPr>
          <w:p>
            <w:pPr>
              <w:spacing w:after="0" w:line="240" w:lineRule="auto"/>
            </w:pPr>
            <w:r>
              <w:rPr>
                <w:rFonts w:ascii="Calibri" w:hAnsi="Calibri"/>
                <w:b w:val="0"/>
                <w:color w:val="182238"/>
                <w:sz w:val="18"/>
              </w:rPr>
              <w:t>Deployment</w:t>
            </w:r>
          </w:p>
        </w:tc>
        <w:tc>
          <w:tcPr>
            <w:tcW w:type="dxa" w:w="6860"/>
            <w:tcMar>
              <w:top w:w="80" w:type="dxa"/>
              <w:start w:w="120" w:type="dxa"/>
              <w:bottom w:w="80" w:type="dxa"/>
              <w:end w:w="120" w:type="dxa"/>
            </w:tcMar>
            <w:vAlign w:val="center"/>
          </w:tcPr>
          <w:p>
            <w:pPr>
              <w:spacing w:after="0" w:line="240" w:lineRule="auto"/>
            </w:pPr>
            <w:r>
              <w:rPr>
                <w:rFonts w:ascii="Calibri" w:hAnsi="Calibri"/>
                <w:b w:val="0"/>
                <w:color w:val="182238"/>
                <w:sz w:val="18"/>
              </w:rPr>
              <w:t>Render blueprint, persistent disk bootstrap and frontend API proxy</w:t>
            </w:r>
          </w:p>
        </w:tc>
      </w:tr>
    </w:tbl>
    <w:p>
      <w:pPr>
        <w:spacing w:after="20"/>
      </w:pPr>
    </w:p>
    <w:p>
      <w:pPr>
        <w:pStyle w:val="Heading1"/>
      </w:pPr>
      <w:r>
        <w:t>Primary active API surface</w:t>
      </w:r>
    </w:p>
    <w:tbl>
      <w:tblPr>
        <w:tblStyle w:val="TableGrid"/>
        <w:tblW w:type="dxa" w:w="9360"/>
        <w:jc w:val="center"/>
        <w:tblLayout w:type="fixed"/>
        <w:tblLook w:firstColumn="1" w:firstRow="1" w:lastColumn="0" w:lastRow="0" w:noHBand="0" w:noVBand="1" w:val="04A0"/>
        <w:tblInd w:w="120" w:type="dxa"/>
      </w:tblPr>
      <w:tblGrid>
        <w:gridCol w:w="2450"/>
        <w:gridCol w:w="6910"/>
      </w:tblGrid>
      <w:tr>
        <w:trPr>
          <w:tblHeader w:val="1"/>
        </w:trPr>
        <w:tc>
          <w:tcPr>
            <w:tcW w:type="dxa" w:w="2450"/>
            <w:tcMar>
              <w:top w:w="80" w:type="dxa"/>
              <w:start w:w="120" w:type="dxa"/>
              <w:bottom w:w="80" w:type="dxa"/>
              <w:end w:w="120" w:type="dxa"/>
            </w:tcMar>
            <w:vAlign w:val="center"/>
            <w:shd w:fill="0B1930"/>
          </w:tcPr>
          <w:p>
            <w:pPr>
              <w:spacing w:after="0" w:line="240" w:lineRule="auto"/>
            </w:pPr>
            <w:r>
              <w:rPr>
                <w:rFonts w:ascii="Calibri" w:hAnsi="Calibri"/>
                <w:b/>
                <w:color w:val="FFFFFF"/>
                <w:sz w:val="18"/>
              </w:rPr>
              <w:t>Area</w:t>
            </w:r>
          </w:p>
        </w:tc>
        <w:tc>
          <w:tcPr>
            <w:tcW w:type="dxa" w:w="6910"/>
            <w:tcMar>
              <w:top w:w="80" w:type="dxa"/>
              <w:start w:w="120" w:type="dxa"/>
              <w:bottom w:w="80" w:type="dxa"/>
              <w:end w:w="120" w:type="dxa"/>
            </w:tcMar>
            <w:vAlign w:val="center"/>
            <w:shd w:fill="0B1930"/>
          </w:tcPr>
          <w:p>
            <w:pPr>
              <w:spacing w:after="0" w:line="240" w:lineRule="auto"/>
            </w:pPr>
            <w:r>
              <w:rPr>
                <w:rFonts w:ascii="Calibri" w:hAnsi="Calibri"/>
                <w:b/>
                <w:color w:val="FFFFFF"/>
                <w:sz w:val="18"/>
              </w:rPr>
              <w:t>Representative endpoints</w:t>
            </w:r>
          </w:p>
        </w:tc>
      </w:tr>
      <w:tr>
        <w:tc>
          <w:tcPr>
            <w:tcW w:type="dxa" w:w="2450"/>
            <w:tcMar>
              <w:top w:w="80" w:type="dxa"/>
              <w:start w:w="120" w:type="dxa"/>
              <w:bottom w:w="80" w:type="dxa"/>
              <w:end w:w="120" w:type="dxa"/>
            </w:tcMar>
            <w:vAlign w:val="center"/>
          </w:tcPr>
          <w:p>
            <w:pPr>
              <w:spacing w:after="0" w:line="240" w:lineRule="auto"/>
            </w:pPr>
            <w:r>
              <w:rPr>
                <w:rFonts w:ascii="Calibri" w:hAnsi="Calibri"/>
                <w:b w:val="0"/>
                <w:color w:val="182238"/>
                <w:sz w:val="18"/>
              </w:rPr>
              <w:t>Operations</w:t>
            </w:r>
          </w:p>
        </w:tc>
        <w:tc>
          <w:tcPr>
            <w:tcW w:type="dxa" w:w="6910"/>
            <w:tcMar>
              <w:top w:w="80" w:type="dxa"/>
              <w:start w:w="120" w:type="dxa"/>
              <w:bottom w:w="80" w:type="dxa"/>
              <w:end w:w="120" w:type="dxa"/>
            </w:tcMar>
            <w:vAlign w:val="center"/>
          </w:tcPr>
          <w:p>
            <w:pPr>
              <w:spacing w:after="0" w:line="240" w:lineRule="auto"/>
            </w:pPr>
            <w:r>
              <w:rPr>
                <w:rFonts w:ascii="Calibri" w:hAnsi="Calibri"/>
                <w:b w:val="0"/>
                <w:color w:val="182238"/>
                <w:sz w:val="18"/>
              </w:rPr>
              <w:t>GET /health, GET /ready, POST /ingest</w:t>
            </w:r>
          </w:p>
        </w:tc>
      </w:tr>
      <w:tr>
        <w:tc>
          <w:tcPr>
            <w:tcW w:type="dxa" w:w="245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Agent</w:t>
            </w:r>
          </w:p>
        </w:tc>
        <w:tc>
          <w:tcPr>
            <w:tcW w:type="dxa" w:w="691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POST /query</w:t>
            </w:r>
          </w:p>
        </w:tc>
      </w:tr>
      <w:tr>
        <w:tc>
          <w:tcPr>
            <w:tcW w:type="dxa" w:w="2450"/>
            <w:tcMar>
              <w:top w:w="80" w:type="dxa"/>
              <w:start w:w="120" w:type="dxa"/>
              <w:bottom w:w="80" w:type="dxa"/>
              <w:end w:w="120" w:type="dxa"/>
            </w:tcMar>
            <w:vAlign w:val="center"/>
          </w:tcPr>
          <w:p>
            <w:pPr>
              <w:spacing w:after="0" w:line="240" w:lineRule="auto"/>
            </w:pPr>
            <w:r>
              <w:rPr>
                <w:rFonts w:ascii="Calibri" w:hAnsi="Calibri"/>
                <w:b w:val="0"/>
                <w:color w:val="182238"/>
                <w:sz w:val="18"/>
              </w:rPr>
              <w:t>Evidence</w:t>
            </w:r>
          </w:p>
        </w:tc>
        <w:tc>
          <w:tcPr>
            <w:tcW w:type="dxa" w:w="6910"/>
            <w:tcMar>
              <w:top w:w="80" w:type="dxa"/>
              <w:start w:w="120" w:type="dxa"/>
              <w:bottom w:w="80" w:type="dxa"/>
              <w:end w:w="120" w:type="dxa"/>
            </w:tcMar>
            <w:vAlign w:val="center"/>
          </w:tcPr>
          <w:p>
            <w:pPr>
              <w:spacing w:after="0" w:line="240" w:lineRule="auto"/>
            </w:pPr>
            <w:r>
              <w:rPr>
                <w:rFonts w:ascii="Calibri" w:hAnsi="Calibri"/>
                <w:b w:val="0"/>
                <w:color w:val="182238"/>
                <w:sz w:val="18"/>
              </w:rPr>
              <w:t>GET /customers, /customers/{id}, /transactions</w:t>
            </w:r>
          </w:p>
        </w:tc>
      </w:tr>
      <w:tr>
        <w:tc>
          <w:tcPr>
            <w:tcW w:type="dxa" w:w="245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Datasets</w:t>
            </w:r>
          </w:p>
        </w:tc>
        <w:tc>
          <w:tcPr>
            <w:tcW w:type="dxa" w:w="691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list, inspect, upload, activate and delete</w:t>
            </w:r>
          </w:p>
        </w:tc>
      </w:tr>
      <w:tr>
        <w:tc>
          <w:tcPr>
            <w:tcW w:type="dxa" w:w="2450"/>
            <w:tcMar>
              <w:top w:w="80" w:type="dxa"/>
              <w:start w:w="120" w:type="dxa"/>
              <w:bottom w:w="80" w:type="dxa"/>
              <w:end w:w="120" w:type="dxa"/>
            </w:tcMar>
            <w:vAlign w:val="center"/>
          </w:tcPr>
          <w:p>
            <w:pPr>
              <w:spacing w:after="0" w:line="240" w:lineRule="auto"/>
            </w:pPr>
            <w:r>
              <w:rPr>
                <w:rFonts w:ascii="Calibri" w:hAnsi="Calibri"/>
                <w:b w:val="0"/>
                <w:color w:val="182238"/>
                <w:sz w:val="18"/>
              </w:rPr>
              <w:t>Workflow</w:t>
            </w:r>
          </w:p>
        </w:tc>
        <w:tc>
          <w:tcPr>
            <w:tcW w:type="dxa" w:w="6910"/>
            <w:tcMar>
              <w:top w:w="80" w:type="dxa"/>
              <w:start w:w="120" w:type="dxa"/>
              <w:bottom w:w="80" w:type="dxa"/>
              <w:end w:w="120" w:type="dxa"/>
            </w:tcMar>
            <w:vAlign w:val="center"/>
          </w:tcPr>
          <w:p>
            <w:pPr>
              <w:spacing w:after="0" w:line="240" w:lineRule="auto"/>
            </w:pPr>
            <w:r>
              <w:rPr>
                <w:rFonts w:ascii="Calibri" w:hAnsi="Calibri"/>
                <w:b w:val="0"/>
                <w:color w:val="182238"/>
                <w:sz w:val="18"/>
              </w:rPr>
              <w:t>investigations, queue, assignment, notes and disposition</w:t>
            </w:r>
          </w:p>
        </w:tc>
      </w:tr>
      <w:tr>
        <w:tc>
          <w:tcPr>
            <w:tcW w:type="dxa" w:w="245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Governance</w:t>
            </w:r>
          </w:p>
        </w:tc>
        <w:tc>
          <w:tcPr>
            <w:tcW w:type="dxa" w:w="691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model card, drift, policy and audit</w:t>
            </w:r>
          </w:p>
        </w:tc>
      </w:tr>
      <w:tr>
        <w:tc>
          <w:tcPr>
            <w:tcW w:type="dxa" w:w="2450"/>
            <w:tcMar>
              <w:top w:w="80" w:type="dxa"/>
              <w:start w:w="120" w:type="dxa"/>
              <w:bottom w:w="80" w:type="dxa"/>
              <w:end w:w="120" w:type="dxa"/>
            </w:tcMar>
            <w:vAlign w:val="center"/>
          </w:tcPr>
          <w:p>
            <w:pPr>
              <w:spacing w:after="0" w:line="240" w:lineRule="auto"/>
            </w:pPr>
            <w:r>
              <w:rPr>
                <w:rFonts w:ascii="Calibri" w:hAnsi="Calibri"/>
                <w:b w:val="0"/>
                <w:color w:val="182238"/>
                <w:sz w:val="18"/>
              </w:rPr>
              <w:t>Exports</w:t>
            </w:r>
          </w:p>
        </w:tc>
        <w:tc>
          <w:tcPr>
            <w:tcW w:type="dxa" w:w="6910"/>
            <w:tcMar>
              <w:top w:w="80" w:type="dxa"/>
              <w:start w:w="120" w:type="dxa"/>
              <w:bottom w:w="80" w:type="dxa"/>
              <w:end w:w="120" w:type="dxa"/>
            </w:tcMar>
            <w:vAlign w:val="center"/>
          </w:tcPr>
          <w:p>
            <w:pPr>
              <w:spacing w:after="0" w:line="240" w:lineRule="auto"/>
            </w:pPr>
            <w:r>
              <w:rPr>
                <w:rFonts w:ascii="Calibri" w:hAnsi="Calibri"/>
                <w:b w:val="0"/>
                <w:color w:val="182238"/>
                <w:sz w:val="18"/>
              </w:rPr>
              <w:t>entities, investigation, trace, SAR draft, model card, audit and EDA</w:t>
            </w:r>
          </w:p>
        </w:tc>
      </w:tr>
    </w:tbl>
    <w:p>
      <w:pPr>
        <w:spacing w:after="20"/>
      </w:pPr>
    </w:p>
    <w:p>
      <w:pPr>
        <w:spacing w:after="120" w:line="264" w:lineRule="auto"/>
      </w:pPr>
      <w:r>
        <w:rPr>
          <w:rFonts w:ascii="Calibri" w:hAnsi="Calibri"/>
          <w:color w:val="182238"/>
          <w:sz w:val="22"/>
        </w:rPr>
        <w:t>The React client adds request IDs, applies a 30-second timeout, retries idempotent GET requests on transient failures, and does not retry mutable POST requests. The Vite development server proxies /api to FastAPI; the hosted worker proxies the same path through API_BASE_URL.</w:t>
      </w:r>
    </w:p>
    <w:p>
      <w:pPr>
        <w:keepNext/>
        <w:pageBreakBefore/>
        <w:spacing w:before="0" w:after="100"/>
      </w:pPr>
      <w:r>
        <w:rPr>
          <w:rFonts w:ascii="Calibri" w:hAnsi="Calibri"/>
          <w:b/>
          <w:color w:val="0B1930"/>
          <w:sz w:val="50"/>
        </w:rPr>
        <w:t>8. User Interface Design</w:t>
      </w:r>
    </w:p>
    <w:p>
      <w:pPr>
        <w:spacing w:after="280"/>
      </w:pPr>
      <w:r>
        <w:rPr>
          <w:rFonts w:ascii="Calibri" w:hAnsi="Calibri"/>
          <w:color w:val="64748B"/>
          <w:sz w:val="23"/>
        </w:rPr>
        <w:t>Investigator-first, evidence-first workflows</w:t>
      </w:r>
    </w:p>
    <w:p>
      <w:pPr>
        <w:spacing w:before="80" w:after="60"/>
        <w:jc w:val="center"/>
      </w:pPr>
      <w:r>
        <w:drawing>
          <wp:inline xmlns:a="http://schemas.openxmlformats.org/drawingml/2006/main" xmlns:pic="http://schemas.openxmlformats.org/drawingml/2006/picture">
            <wp:extent cx="5806440" cy="3268131"/>
            <wp:docPr id="5" name="Picture 5" title="Figure 5. Query-aware Command Center with direct governed dataset upload." descr="Figure 5. Query-aware Command Center with direct governed dataset upload."/>
            <wp:cNvGraphicFramePr>
              <a:graphicFrameLocks noChangeAspect="1"/>
            </wp:cNvGraphicFramePr>
            <a:graphic>
              <a:graphicData uri="http://schemas.openxmlformats.org/drawingml/2006/picture">
                <pic:pic>
                  <pic:nvPicPr>
                    <pic:cNvPr id="0" name="command-center.png"/>
                    <pic:cNvPicPr/>
                  </pic:nvPicPr>
                  <pic:blipFill>
                    <a:blip r:embed="rId15"/>
                    <a:stretch>
                      <a:fillRect/>
                    </a:stretch>
                  </pic:blipFill>
                  <pic:spPr>
                    <a:xfrm>
                      <a:off x="0" y="0"/>
                      <a:ext cx="5806440" cy="3268131"/>
                    </a:xfrm>
                    <a:prstGeom prst="rect"/>
                  </pic:spPr>
                </pic:pic>
              </a:graphicData>
            </a:graphic>
          </wp:inline>
        </w:drawing>
      </w:r>
    </w:p>
    <w:p>
      <w:pPr>
        <w:keepNext/>
        <w:spacing w:after="160"/>
        <w:jc w:val="center"/>
      </w:pPr>
      <w:r>
        <w:rPr>
          <w:rFonts w:ascii="Calibri" w:hAnsi="Calibri"/>
          <w:i/>
          <w:color w:val="64748B"/>
          <w:sz w:val="18"/>
        </w:rPr>
        <w:t>Figure 5. Query-aware Command Center with direct governed dataset upload.</w:t>
      </w:r>
    </w:p>
    <w:p>
      <w:pPr>
        <w:pStyle w:val="ListBullet"/>
        <w:spacing w:after="100" w:line="264" w:lineRule="auto"/>
        <w:ind w:left="720" w:hanging="360"/>
      </w:pPr>
      <w:r>
        <w:rPr>
          <w:rFonts w:ascii="Calibri" w:hAnsi="Calibri"/>
          <w:color w:val="182238"/>
          <w:sz w:val="21"/>
        </w:rPr>
        <w:t>The landing surface centers the analyst question rather than model controls.</w:t>
      </w:r>
    </w:p>
    <w:p>
      <w:pPr>
        <w:pStyle w:val="ListBullet"/>
        <w:spacing w:after="100" w:line="264" w:lineRule="auto"/>
        <w:ind w:left="720" w:hanging="360"/>
      </w:pPr>
      <w:r>
        <w:rPr>
          <w:rFonts w:ascii="Calibri" w:hAnsi="Calibri"/>
          <w:color w:val="182238"/>
          <w:sz w:val="21"/>
        </w:rPr>
        <w:t>Example queries communicate the four supported investigation modes.</w:t>
      </w:r>
    </w:p>
    <w:p>
      <w:pPr>
        <w:pStyle w:val="ListBullet"/>
        <w:spacing w:after="100" w:line="264" w:lineRule="auto"/>
        <w:ind w:left="720" w:hanging="360"/>
      </w:pPr>
      <w:r>
        <w:rPr>
          <w:rFonts w:ascii="Calibri" w:hAnsi="Calibri"/>
          <w:color w:val="182238"/>
          <w:sz w:val="21"/>
        </w:rPr>
        <w:t>The active dataset and API state remain visible in the application shell.</w:t>
      </w:r>
    </w:p>
    <w:p>
      <w:pPr>
        <w:pStyle w:val="ListBullet"/>
        <w:spacing w:after="100" w:line="264" w:lineRule="auto"/>
        <w:ind w:left="720" w:hanging="360"/>
      </w:pPr>
      <w:r>
        <w:rPr>
          <w:rFonts w:ascii="Calibri" w:hAnsi="Calibri"/>
          <w:color w:val="182238"/>
          <w:sz w:val="21"/>
        </w:rPr>
        <w:t>Results preserve the decision sequence: intent, plan, execution, risk, evidence and action.</w:t>
      </w:r>
    </w:p>
    <w:p>
      <w:pPr>
        <w:pStyle w:val="ListBullet"/>
        <w:spacing w:after="100" w:line="264" w:lineRule="auto"/>
        <w:ind w:left="720" w:hanging="360"/>
      </w:pPr>
      <w:r>
        <w:rPr>
          <w:rFonts w:ascii="Calibri" w:hAnsi="Calibri"/>
          <w:color w:val="182238"/>
          <w:sz w:val="21"/>
        </w:rPr>
        <w:t>Entity drawers show supporting transactions without losing the ranked investigation context.</w:t>
      </w:r>
    </w:p>
    <w:p>
      <w:pPr>
        <w:pStyle w:val="ListBullet"/>
        <w:spacing w:after="100" w:line="264" w:lineRule="auto"/>
        <w:ind w:left="720" w:hanging="360"/>
      </w:pPr>
      <w:r>
        <w:rPr>
          <w:rFonts w:ascii="Calibri" w:hAnsi="Calibri"/>
          <w:color w:val="182238"/>
          <w:sz w:val="21"/>
        </w:rPr>
        <w:t>Responsive navigation, theme control, readable typography and reduced-motion support improve accessibility.</w:t>
      </w:r>
    </w:p>
    <w:p>
      <w:pPr>
        <w:keepNext/>
        <w:pageBreakBefore/>
        <w:spacing w:before="0" w:after="100"/>
      </w:pPr>
      <w:r>
        <w:rPr>
          <w:rFonts w:ascii="Calibri" w:hAnsi="Calibri"/>
          <w:b/>
          <w:color w:val="0B1930"/>
          <w:sz w:val="50"/>
        </w:rPr>
        <w:t>9. Human Review and Dataset Workspaces</w:t>
      </w:r>
    </w:p>
    <w:p>
      <w:pPr>
        <w:spacing w:before="80" w:after="60"/>
        <w:jc w:val="center"/>
      </w:pPr>
      <w:r>
        <w:drawing>
          <wp:inline xmlns:a="http://schemas.openxmlformats.org/drawingml/2006/main" xmlns:pic="http://schemas.openxmlformats.org/drawingml/2006/picture">
            <wp:extent cx="5806440" cy="3268131"/>
            <wp:docPr id="6" name="Picture 6" title="Figure 6. Review queue with ownership, SLA context, notes and disposition." descr="Figure 6. Review queue with ownership, SLA context, notes and disposition."/>
            <wp:cNvGraphicFramePr>
              <a:graphicFrameLocks noChangeAspect="1"/>
            </wp:cNvGraphicFramePr>
            <a:graphic>
              <a:graphicData uri="http://schemas.openxmlformats.org/drawingml/2006/picture">
                <pic:pic>
                  <pic:nvPicPr>
                    <pic:cNvPr id="0" name="review-queue.png"/>
                    <pic:cNvPicPr/>
                  </pic:nvPicPr>
                  <pic:blipFill>
                    <a:blip r:embed="rId16"/>
                    <a:stretch>
                      <a:fillRect/>
                    </a:stretch>
                  </pic:blipFill>
                  <pic:spPr>
                    <a:xfrm>
                      <a:off x="0" y="0"/>
                      <a:ext cx="5806440" cy="3268131"/>
                    </a:xfrm>
                    <a:prstGeom prst="rect"/>
                  </pic:spPr>
                </pic:pic>
              </a:graphicData>
            </a:graphic>
          </wp:inline>
        </w:drawing>
      </w:r>
    </w:p>
    <w:p>
      <w:pPr>
        <w:keepNext/>
        <w:spacing w:after="160"/>
        <w:jc w:val="center"/>
      </w:pPr>
      <w:r>
        <w:rPr>
          <w:rFonts w:ascii="Calibri" w:hAnsi="Calibri"/>
          <w:i/>
          <w:color w:val="64748B"/>
          <w:sz w:val="18"/>
        </w:rPr>
        <w:t>Figure 6. Review queue with ownership, SLA context, notes and disposition.</w:t>
      </w:r>
    </w:p>
    <w:p>
      <w:pPr>
        <w:spacing w:before="80" w:after="60"/>
        <w:jc w:val="center"/>
      </w:pPr>
      <w:r>
        <w:drawing>
          <wp:inline xmlns:a="http://schemas.openxmlformats.org/drawingml/2006/main" xmlns:pic="http://schemas.openxmlformats.org/drawingml/2006/picture">
            <wp:extent cx="5806440" cy="3268131"/>
            <wp:docPr id="7" name="Picture 7" title="Figure 7. Isolated data workspaces with provenance and activation state." descr="Figure 7. Isolated data workspaces with provenance and activation state."/>
            <wp:cNvGraphicFramePr>
              <a:graphicFrameLocks noChangeAspect="1"/>
            </wp:cNvGraphicFramePr>
            <a:graphic>
              <a:graphicData uri="http://schemas.openxmlformats.org/drawingml/2006/picture">
                <pic:pic>
                  <pic:nvPicPr>
                    <pic:cNvPr id="0" name="dataset-workspaces.png"/>
                    <pic:cNvPicPr/>
                  </pic:nvPicPr>
                  <pic:blipFill>
                    <a:blip r:embed="rId17"/>
                    <a:stretch>
                      <a:fillRect/>
                    </a:stretch>
                  </pic:blipFill>
                  <pic:spPr>
                    <a:xfrm>
                      <a:off x="0" y="0"/>
                      <a:ext cx="5806440" cy="3268131"/>
                    </a:xfrm>
                    <a:prstGeom prst="rect"/>
                  </pic:spPr>
                </pic:pic>
              </a:graphicData>
            </a:graphic>
          </wp:inline>
        </w:drawing>
      </w:r>
    </w:p>
    <w:p>
      <w:pPr>
        <w:keepNext/>
        <w:spacing w:after="160"/>
        <w:jc w:val="center"/>
      </w:pPr>
      <w:r>
        <w:rPr>
          <w:rFonts w:ascii="Calibri" w:hAnsi="Calibri"/>
          <w:i/>
          <w:color w:val="64748B"/>
          <w:sz w:val="18"/>
        </w:rPr>
        <w:t>Figure 7. Isolated data workspaces with provenance and activation state.</w:t>
      </w:r>
    </w:p>
    <w:p>
      <w:pPr>
        <w:keepNext/>
        <w:pageBreakBefore/>
        <w:spacing w:before="0" w:after="100"/>
      </w:pPr>
      <w:r>
        <w:rPr>
          <w:rFonts w:ascii="Calibri" w:hAnsi="Calibri"/>
          <w:b/>
          <w:color w:val="0B1930"/>
          <w:sz w:val="50"/>
        </w:rPr>
        <w:t>10. Model Intelligence and Governance</w:t>
      </w:r>
    </w:p>
    <w:p>
      <w:pPr>
        <w:spacing w:before="80" w:after="60"/>
        <w:jc w:val="center"/>
      </w:pPr>
      <w:r>
        <w:drawing>
          <wp:inline xmlns:a="http://schemas.openxmlformats.org/drawingml/2006/main" xmlns:pic="http://schemas.openxmlformats.org/drawingml/2006/picture">
            <wp:extent cx="5806440" cy="3268131"/>
            <wp:docPr id="8" name="Picture 8" title="Figure 8. Active model metadata, serving contract and PSI drift monitoring." descr="Figure 8. Active model metadata, serving contract and PSI drift monitoring."/>
            <wp:cNvGraphicFramePr>
              <a:graphicFrameLocks noChangeAspect="1"/>
            </wp:cNvGraphicFramePr>
            <a:graphic>
              <a:graphicData uri="http://schemas.openxmlformats.org/drawingml/2006/picture">
                <pic:pic>
                  <pic:nvPicPr>
                    <pic:cNvPr id="0" name="model-intelligence.png"/>
                    <pic:cNvPicPr/>
                  </pic:nvPicPr>
                  <pic:blipFill>
                    <a:blip r:embed="rId18"/>
                    <a:stretch>
                      <a:fillRect/>
                    </a:stretch>
                  </pic:blipFill>
                  <pic:spPr>
                    <a:xfrm>
                      <a:off x="0" y="0"/>
                      <a:ext cx="5806440" cy="3268131"/>
                    </a:xfrm>
                    <a:prstGeom prst="rect"/>
                  </pic:spPr>
                </pic:pic>
              </a:graphicData>
            </a:graphic>
          </wp:inline>
        </w:drawing>
      </w:r>
    </w:p>
    <w:p>
      <w:pPr>
        <w:keepNext/>
        <w:spacing w:after="160"/>
        <w:jc w:val="center"/>
      </w:pPr>
      <w:r>
        <w:rPr>
          <w:rFonts w:ascii="Calibri" w:hAnsi="Calibri"/>
          <w:i/>
          <w:color w:val="64748B"/>
          <w:sz w:val="18"/>
        </w:rPr>
        <w:t>Figure 8. Active model metadata, serving contract and PSI drift monitoring.</w:t>
      </w:r>
    </w:p>
    <w:p>
      <w:pPr>
        <w:pStyle w:val="ListBullet"/>
        <w:spacing w:after="100" w:line="264" w:lineRule="auto"/>
        <w:ind w:left="720" w:hanging="360"/>
      </w:pPr>
      <w:r>
        <w:rPr>
          <w:rFonts w:ascii="Calibri" w:hAnsi="Calibri"/>
          <w:color w:val="182238"/>
          <w:sz w:val="21"/>
        </w:rPr>
        <w:t>The model page exposes training source, scale, contamination, estimators, features and score normalization.</w:t>
      </w:r>
    </w:p>
    <w:p>
      <w:pPr>
        <w:pStyle w:val="ListBullet"/>
        <w:spacing w:after="100" w:line="264" w:lineRule="auto"/>
        <w:ind w:left="720" w:hanging="360"/>
      </w:pPr>
      <w:r>
        <w:rPr>
          <w:rFonts w:ascii="Calibri" w:hAnsi="Calibri"/>
          <w:color w:val="182238"/>
          <w:sz w:val="21"/>
        </w:rPr>
        <w:t>PSI compares the exact training feature baseline with a current bounded investigation slice.</w:t>
      </w:r>
    </w:p>
    <w:p>
      <w:pPr>
        <w:pStyle w:val="ListBullet"/>
        <w:spacing w:after="100" w:line="264" w:lineRule="auto"/>
        <w:ind w:left="720" w:hanging="360"/>
      </w:pPr>
      <w:r>
        <w:rPr>
          <w:rFonts w:ascii="Calibri" w:hAnsi="Calibri"/>
          <w:color w:val="182238"/>
          <w:sz w:val="21"/>
        </w:rPr>
        <w:t>The policy page publishes risk thresholds, detector weights, escalation boundaries and jurisdiction context as read-only configuration.</w:t>
      </w:r>
    </w:p>
    <w:p>
      <w:pPr>
        <w:pStyle w:val="ListBullet"/>
        <w:spacing w:after="100" w:line="264" w:lineRule="auto"/>
        <w:ind w:left="720" w:hanging="360"/>
      </w:pPr>
      <w:r>
        <w:rPr>
          <w:rFonts w:ascii="Calibri" w:hAnsi="Calibri"/>
          <w:color w:val="182238"/>
          <w:sz w:val="21"/>
        </w:rPr>
        <w:t>Audit events retain the model version, risk-policy version, dataset snapshot, actor and event payload.</w:t>
      </w:r>
    </w:p>
    <w:p>
      <w:pPr>
        <w:pStyle w:val="ListBullet"/>
        <w:spacing w:after="100" w:line="264" w:lineRule="auto"/>
        <w:ind w:left="720" w:hanging="360"/>
      </w:pPr>
      <w:r>
        <w:rPr>
          <w:rFonts w:ascii="Calibri" w:hAnsi="Calibri"/>
          <w:color w:val="182238"/>
          <w:sz w:val="21"/>
        </w:rPr>
        <w:t>Investigation and alert persistence is atomic, preventing a partial queue state without its parent record.</w:t>
      </w:r>
    </w:p>
    <w:p>
      <w:pPr>
        <w:keepNext/>
        <w:pageBreakBefore/>
        <w:spacing w:before="0" w:after="100"/>
      </w:pPr>
      <w:r>
        <w:rPr>
          <w:rFonts w:ascii="Calibri" w:hAnsi="Calibri"/>
          <w:b/>
          <w:color w:val="0B1930"/>
          <w:sz w:val="50"/>
        </w:rPr>
        <w:t>11. Security and Compliance Controls</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1"/>
        </w:trPr>
        <w:tc>
          <w:tcPr>
            <w:tcW w:type="dxa" w:w="2500"/>
            <w:tcMar>
              <w:top w:w="80" w:type="dxa"/>
              <w:start w:w="120" w:type="dxa"/>
              <w:bottom w:w="80" w:type="dxa"/>
              <w:end w:w="120" w:type="dxa"/>
            </w:tcMar>
            <w:vAlign w:val="center"/>
            <w:shd w:fill="0B1930"/>
          </w:tcPr>
          <w:p>
            <w:pPr>
              <w:spacing w:after="0" w:line="240" w:lineRule="auto"/>
            </w:pPr>
            <w:r>
              <w:rPr>
                <w:rFonts w:ascii="Calibri" w:hAnsi="Calibri"/>
                <w:b/>
                <w:color w:val="FFFFFF"/>
                <w:sz w:val="18"/>
              </w:rPr>
              <w:t>Control</w:t>
            </w:r>
          </w:p>
        </w:tc>
        <w:tc>
          <w:tcPr>
            <w:tcW w:type="dxa" w:w="6860"/>
            <w:tcMar>
              <w:top w:w="80" w:type="dxa"/>
              <w:start w:w="120" w:type="dxa"/>
              <w:bottom w:w="80" w:type="dxa"/>
              <w:end w:w="120" w:type="dxa"/>
            </w:tcMar>
            <w:vAlign w:val="center"/>
            <w:shd w:fill="0B1930"/>
          </w:tcPr>
          <w:p>
            <w:pPr>
              <w:spacing w:after="0" w:line="240" w:lineRule="auto"/>
            </w:pPr>
            <w:r>
              <w:rPr>
                <w:rFonts w:ascii="Calibri" w:hAnsi="Calibri"/>
                <w:b/>
                <w:color w:val="FFFFFF"/>
                <w:sz w:val="18"/>
              </w:rPr>
              <w:t>Implemented evidence</w:t>
            </w:r>
          </w:p>
        </w:tc>
      </w:tr>
      <w:tr>
        <w:tc>
          <w:tcPr>
            <w:tcW w:type="dxa" w:w="2500"/>
            <w:tcMar>
              <w:top w:w="80" w:type="dxa"/>
              <w:start w:w="120" w:type="dxa"/>
              <w:bottom w:w="80" w:type="dxa"/>
              <w:end w:w="120" w:type="dxa"/>
            </w:tcMar>
            <w:vAlign w:val="center"/>
          </w:tcPr>
          <w:p>
            <w:pPr>
              <w:spacing w:after="0" w:line="240" w:lineRule="auto"/>
            </w:pPr>
            <w:r>
              <w:rPr>
                <w:rFonts w:ascii="Calibri" w:hAnsi="Calibri"/>
                <w:b w:val="0"/>
                <w:color w:val="182238"/>
                <w:sz w:val="18"/>
              </w:rPr>
              <w:t>Secrets</w:t>
            </w:r>
          </w:p>
        </w:tc>
        <w:tc>
          <w:tcPr>
            <w:tcW w:type="dxa" w:w="6860"/>
            <w:tcMar>
              <w:top w:w="80" w:type="dxa"/>
              <w:start w:w="120" w:type="dxa"/>
              <w:bottom w:w="80" w:type="dxa"/>
              <w:end w:w="120" w:type="dxa"/>
            </w:tcMar>
            <w:vAlign w:val="center"/>
          </w:tcPr>
          <w:p>
            <w:pPr>
              <w:spacing w:after="0" w:line="240" w:lineRule="auto"/>
            </w:pPr>
            <w:r>
              <w:rPr>
                <w:rFonts w:ascii="Calibri" w:hAnsi="Calibri"/>
                <w:b w:val="0"/>
                <w:color w:val="182238"/>
                <w:sz w:val="18"/>
              </w:rPr>
              <w:t>.env is ignored; API-key presence is reported without returning its value</w:t>
            </w:r>
          </w:p>
        </w:tc>
      </w:tr>
      <w:tr>
        <w:tc>
          <w:tcPr>
            <w:tcW w:type="dxa" w:w="25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CORS</w:t>
            </w:r>
          </w:p>
        </w:tc>
        <w:tc>
          <w:tcPr>
            <w:tcW w:type="dxa" w:w="68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Credentialed origins are explicit; wildcard origins are rejected</w:t>
            </w:r>
          </w:p>
        </w:tc>
      </w:tr>
      <w:tr>
        <w:tc>
          <w:tcPr>
            <w:tcW w:type="dxa" w:w="2500"/>
            <w:tcMar>
              <w:top w:w="80" w:type="dxa"/>
              <w:start w:w="120" w:type="dxa"/>
              <w:bottom w:w="80" w:type="dxa"/>
              <w:end w:w="120" w:type="dxa"/>
            </w:tcMar>
            <w:vAlign w:val="center"/>
          </w:tcPr>
          <w:p>
            <w:pPr>
              <w:spacing w:after="0" w:line="240" w:lineRule="auto"/>
            </w:pPr>
            <w:r>
              <w:rPr>
                <w:rFonts w:ascii="Calibri" w:hAnsi="Calibri"/>
                <w:b w:val="0"/>
                <w:color w:val="182238"/>
                <w:sz w:val="18"/>
              </w:rPr>
              <w:t>Query safety</w:t>
            </w:r>
          </w:p>
        </w:tc>
        <w:tc>
          <w:tcPr>
            <w:tcW w:type="dxa" w:w="6860"/>
            <w:tcMar>
              <w:top w:w="80" w:type="dxa"/>
              <w:start w:w="120" w:type="dxa"/>
              <w:bottom w:w="80" w:type="dxa"/>
              <w:end w:w="120" w:type="dxa"/>
            </w:tcMar>
            <w:vAlign w:val="center"/>
          </w:tcPr>
          <w:p>
            <w:pPr>
              <w:spacing w:after="0" w:line="240" w:lineRule="auto"/>
            </w:pPr>
            <w:r>
              <w:rPr>
                <w:rFonts w:ascii="Calibri" w:hAnsi="Calibri"/>
                <w:b w:val="0"/>
                <w:color w:val="182238"/>
                <w:sz w:val="18"/>
              </w:rPr>
              <w:t>2,000-character request cap and planner tool allow-list</w:t>
            </w:r>
          </w:p>
        </w:tc>
      </w:tr>
      <w:tr>
        <w:tc>
          <w:tcPr>
            <w:tcW w:type="dxa" w:w="25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SQL safety</w:t>
            </w:r>
          </w:p>
        </w:tc>
        <w:tc>
          <w:tcPr>
            <w:tcW w:type="dxa" w:w="68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User filter values are parameterized; workspace identifiers are validated</w:t>
            </w:r>
          </w:p>
        </w:tc>
      </w:tr>
      <w:tr>
        <w:tc>
          <w:tcPr>
            <w:tcW w:type="dxa" w:w="2500"/>
            <w:tcMar>
              <w:top w:w="80" w:type="dxa"/>
              <w:start w:w="120" w:type="dxa"/>
              <w:bottom w:w="80" w:type="dxa"/>
              <w:end w:w="120" w:type="dxa"/>
            </w:tcMar>
            <w:vAlign w:val="center"/>
          </w:tcPr>
          <w:p>
            <w:pPr>
              <w:spacing w:after="0" w:line="240" w:lineRule="auto"/>
            </w:pPr>
            <w:r>
              <w:rPr>
                <w:rFonts w:ascii="Calibri" w:hAnsi="Calibri"/>
                <w:b w:val="0"/>
                <w:color w:val="182238"/>
                <w:sz w:val="18"/>
              </w:rPr>
              <w:t>Upload safety</w:t>
            </w:r>
          </w:p>
        </w:tc>
        <w:tc>
          <w:tcPr>
            <w:tcW w:type="dxa" w:w="6860"/>
            <w:tcMar>
              <w:top w:w="80" w:type="dxa"/>
              <w:start w:w="120" w:type="dxa"/>
              <w:bottom w:w="80" w:type="dxa"/>
              <w:end w:w="120" w:type="dxa"/>
            </w:tcMar>
            <w:vAlign w:val="center"/>
          </w:tcPr>
          <w:p>
            <w:pPr>
              <w:spacing w:after="0" w:line="240" w:lineRule="auto"/>
            </w:pPr>
            <w:r>
              <w:rPr>
                <w:rFonts w:ascii="Calibri" w:hAnsi="Calibri"/>
                <w:b w:val="0"/>
                <w:color w:val="182238"/>
                <w:sz w:val="18"/>
              </w:rPr>
              <w:t>Extension allow-list, streaming size cap, empty-file rejection and fingerprinting</w:t>
            </w:r>
          </w:p>
        </w:tc>
      </w:tr>
      <w:tr>
        <w:tc>
          <w:tcPr>
            <w:tcW w:type="dxa" w:w="25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Export safety</w:t>
            </w:r>
          </w:p>
        </w:tc>
        <w:tc>
          <w:tcPr>
            <w:tcW w:type="dxa" w:w="68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Safe filenames, no-store headers and spreadsheet-formula protection</w:t>
            </w:r>
          </w:p>
        </w:tc>
      </w:tr>
      <w:tr>
        <w:tc>
          <w:tcPr>
            <w:tcW w:type="dxa" w:w="2500"/>
            <w:tcMar>
              <w:top w:w="80" w:type="dxa"/>
              <w:start w:w="120" w:type="dxa"/>
              <w:bottom w:w="80" w:type="dxa"/>
              <w:end w:w="120" w:type="dxa"/>
            </w:tcMar>
            <w:vAlign w:val="center"/>
          </w:tcPr>
          <w:p>
            <w:pPr>
              <w:spacing w:after="0" w:line="240" w:lineRule="auto"/>
            </w:pPr>
            <w:r>
              <w:rPr>
                <w:rFonts w:ascii="Calibri" w:hAnsi="Calibri"/>
                <w:b w:val="0"/>
                <w:color w:val="182238"/>
                <w:sz w:val="18"/>
              </w:rPr>
              <w:t>Session primitives</w:t>
            </w:r>
          </w:p>
        </w:tc>
        <w:tc>
          <w:tcPr>
            <w:tcW w:type="dxa" w:w="6860"/>
            <w:tcMar>
              <w:top w:w="80" w:type="dxa"/>
              <w:start w:w="120" w:type="dxa"/>
              <w:bottom w:w="80" w:type="dxa"/>
              <w:end w:w="120" w:type="dxa"/>
            </w:tcMar>
            <w:vAlign w:val="center"/>
          </w:tcPr>
          <w:p>
            <w:pPr>
              <w:spacing w:after="0" w:line="240" w:lineRule="auto"/>
            </w:pPr>
            <w:r>
              <w:rPr>
                <w:rFonts w:ascii="Calibri" w:hAnsi="Calibri"/>
                <w:b w:val="0"/>
                <w:color w:val="182238"/>
                <w:sz w:val="18"/>
              </w:rPr>
              <w:t>PBKDF2-SHA256 passwords, opaque hashed sessions, HttpOnly Strict cookies, rate limiting and origin checks</w:t>
            </w:r>
          </w:p>
        </w:tc>
      </w:tr>
      <w:tr>
        <w:tc>
          <w:tcPr>
            <w:tcW w:type="dxa" w:w="25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Human control</w:t>
            </w:r>
          </w:p>
        </w:tc>
        <w:tc>
          <w:tcPr>
            <w:tcW w:type="dxa" w:w="68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No automatic regulatory filing; audit and policy writes are not publicly exposed</w:t>
            </w:r>
          </w:p>
        </w:tc>
      </w:tr>
    </w:tbl>
    <w:p>
      <w:pPr>
        <w:spacing w:after="20"/>
      </w:pPr>
    </w:p>
    <w:p>
      <w:pPr>
        <w:keepLines/>
        <w:spacing w:before="80" w:after="160" w:line="259" w:lineRule="auto"/>
        <w:ind w:left="115" w:right="115"/>
        <w:shd w:fill="FFF4E5"/>
        <w:pBdr>
          <w:top w:val="single" w:sz="2" w:space="5" w:color="FFF4E5"/>
          <w:left w:val="single" w:sz="2" w:space="5" w:color="FFF4E5"/>
          <w:bottom w:val="single" w:sz="2" w:space="5" w:color="FFF4E5"/>
          <w:right w:val="single" w:sz="2" w:space="5" w:color="FFF4E5"/>
        </w:pBdr>
      </w:pPr>
      <w:r>
        <w:rPr>
          <w:rFonts w:ascii="Calibri" w:hAnsi="Calibri"/>
          <w:b/>
          <w:color w:val="2F6BFF"/>
          <w:sz w:val="18"/>
        </w:rPr>
        <w:t>CURRENT DEMO AUTHENTICATION STATUS</w:t>
        <w:br/>
      </w:r>
      <w:r>
        <w:rPr>
          <w:rFonts w:ascii="Calibri" w:hAnsi="Calibri"/>
          <w:color w:val="182238"/>
          <w:sz w:val="21"/>
        </w:rPr>
        <w:t>The frontend intentionally uses a pass-through ProtectedRoute and the active api.main exposes direct demo endpoints. Authentication and role-aware modular routes are implemented and tested, but router discovery is not mounted into api.main. Production deployment still requires wiring the authenticated router set, enterprise identity integration and institution-specific RBAC.</w:t>
      </w:r>
    </w:p>
    <w:p>
      <w:pPr>
        <w:keepNext/>
        <w:pageBreakBefore/>
        <w:spacing w:before="0" w:after="100"/>
      </w:pPr>
      <w:r>
        <w:rPr>
          <w:rFonts w:ascii="Calibri" w:hAnsi="Calibri"/>
          <w:b/>
          <w:color w:val="0B1930"/>
          <w:sz w:val="50"/>
        </w:rPr>
        <w:t>12. Performance, Scalability and Reliability</w:t>
      </w:r>
    </w:p>
    <w:tbl>
      <w:tblPr>
        <w:tblStyle w:val="TableGrid"/>
        <w:tblW w:type="dxa" w:w="9360"/>
        <w:jc w:val="center"/>
        <w:tblLayout w:type="fixed"/>
        <w:tblLook w:firstColumn="1" w:firstRow="1" w:lastColumn="0" w:lastRow="0" w:noHBand="0" w:noVBand="1" w:val="04A0"/>
        <w:tblInd w:w="120" w:type="dxa"/>
      </w:tblPr>
      <w:tblGrid>
        <w:gridCol w:w="4800"/>
        <w:gridCol w:w="2180"/>
        <w:gridCol w:w="2380"/>
      </w:tblGrid>
      <w:tr>
        <w:trPr>
          <w:tblHeader w:val="1"/>
        </w:trPr>
        <w:tc>
          <w:tcPr>
            <w:tcW w:type="dxa" w:w="4800"/>
            <w:tcMar>
              <w:top w:w="80" w:type="dxa"/>
              <w:start w:w="120" w:type="dxa"/>
              <w:bottom w:w="80" w:type="dxa"/>
              <w:end w:w="120" w:type="dxa"/>
            </w:tcMar>
            <w:vAlign w:val="center"/>
            <w:shd w:fill="0B1930"/>
          </w:tcPr>
          <w:p>
            <w:pPr>
              <w:spacing w:after="0" w:line="240" w:lineRule="auto"/>
            </w:pPr>
            <w:r>
              <w:rPr>
                <w:rFonts w:ascii="Calibri" w:hAnsi="Calibri"/>
                <w:b/>
                <w:color w:val="FFFFFF"/>
                <w:sz w:val="18"/>
              </w:rPr>
              <w:t>Operation</w:t>
            </w:r>
          </w:p>
        </w:tc>
        <w:tc>
          <w:tcPr>
            <w:tcW w:type="dxa" w:w="2180"/>
            <w:tcMar>
              <w:top w:w="80" w:type="dxa"/>
              <w:start w:w="120" w:type="dxa"/>
              <w:bottom w:w="80" w:type="dxa"/>
              <w:end w:w="120" w:type="dxa"/>
            </w:tcMar>
            <w:vAlign w:val="center"/>
            <w:shd w:fill="0B1930"/>
          </w:tcPr>
          <w:p>
            <w:pPr>
              <w:spacing w:after="0" w:line="240" w:lineRule="auto"/>
            </w:pPr>
            <w:r>
              <w:rPr>
                <w:rFonts w:ascii="Calibri" w:hAnsi="Calibri"/>
                <w:b/>
                <w:color w:val="FFFFFF"/>
                <w:sz w:val="18"/>
              </w:rPr>
              <w:t>Observed</w:t>
            </w:r>
          </w:p>
        </w:tc>
        <w:tc>
          <w:tcPr>
            <w:tcW w:type="dxa" w:w="2380"/>
            <w:tcMar>
              <w:top w:w="80" w:type="dxa"/>
              <w:start w:w="120" w:type="dxa"/>
              <w:bottom w:w="80" w:type="dxa"/>
              <w:end w:w="120" w:type="dxa"/>
            </w:tcMar>
            <w:vAlign w:val="center"/>
            <w:shd w:fill="0B1930"/>
          </w:tcPr>
          <w:p>
            <w:pPr>
              <w:spacing w:after="0" w:line="240" w:lineRule="auto"/>
            </w:pPr>
            <w:r>
              <w:rPr>
                <w:rFonts w:ascii="Calibri" w:hAnsi="Calibri"/>
                <w:b/>
                <w:color w:val="FFFFFF"/>
                <w:sz w:val="18"/>
              </w:rPr>
              <w:t>Target</w:t>
            </w:r>
          </w:p>
        </w:tc>
      </w:tr>
      <w:tr>
        <w:tc>
          <w:tcPr>
            <w:tcW w:type="dxa" w:w="4800"/>
            <w:tcMar>
              <w:top w:w="80" w:type="dxa"/>
              <w:start w:w="120" w:type="dxa"/>
              <w:bottom w:w="80" w:type="dxa"/>
              <w:end w:w="120" w:type="dxa"/>
            </w:tcMar>
            <w:vAlign w:val="center"/>
          </w:tcPr>
          <w:p>
            <w:pPr>
              <w:spacing w:after="0" w:line="240" w:lineRule="auto"/>
            </w:pPr>
            <w:r>
              <w:rPr>
                <w:rFonts w:ascii="Calibri" w:hAnsi="Calibri"/>
                <w:b w:val="0"/>
                <w:color w:val="182238"/>
                <w:sz w:val="18"/>
              </w:rPr>
              <w:t>Filtered load, 1,000 rows</w:t>
            </w:r>
          </w:p>
        </w:tc>
        <w:tc>
          <w:tcPr>
            <w:tcW w:type="dxa" w:w="2180"/>
            <w:tcMar>
              <w:top w:w="80" w:type="dxa"/>
              <w:start w:w="120" w:type="dxa"/>
              <w:bottom w:w="80" w:type="dxa"/>
              <w:end w:w="120" w:type="dxa"/>
            </w:tcMar>
            <w:vAlign w:val="center"/>
          </w:tcPr>
          <w:p>
            <w:pPr>
              <w:spacing w:after="0" w:line="240" w:lineRule="auto"/>
            </w:pPr>
            <w:r>
              <w:rPr>
                <w:rFonts w:ascii="Calibri" w:hAnsi="Calibri"/>
                <w:b w:val="0"/>
                <w:color w:val="182238"/>
                <w:sz w:val="18"/>
              </w:rPr>
              <w:t>0.03 s</w:t>
            </w:r>
          </w:p>
        </w:tc>
        <w:tc>
          <w:tcPr>
            <w:tcW w:type="dxa" w:w="2380"/>
            <w:tcMar>
              <w:top w:w="80" w:type="dxa"/>
              <w:start w:w="120" w:type="dxa"/>
              <w:bottom w:w="80" w:type="dxa"/>
              <w:end w:w="120" w:type="dxa"/>
            </w:tcMar>
            <w:vAlign w:val="center"/>
          </w:tcPr>
          <w:p>
            <w:pPr>
              <w:spacing w:after="0" w:line="240" w:lineRule="auto"/>
            </w:pPr>
            <w:r>
              <w:rPr>
                <w:rFonts w:ascii="Calibri" w:hAnsi="Calibri"/>
                <w:b w:val="0"/>
                <w:color w:val="182238"/>
                <w:sz w:val="18"/>
              </w:rPr>
              <w:t>&lt; 1.0 s</w:t>
            </w:r>
          </w:p>
        </w:tc>
      </w:tr>
      <w:tr>
        <w:tc>
          <w:tcPr>
            <w:tcW w:type="dxa" w:w="48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Feature engineering, 1,000 rows</w:t>
            </w:r>
          </w:p>
        </w:tc>
        <w:tc>
          <w:tcPr>
            <w:tcW w:type="dxa" w:w="218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0.09 s</w:t>
            </w:r>
          </w:p>
        </w:tc>
        <w:tc>
          <w:tcPr>
            <w:tcW w:type="dxa" w:w="238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&lt; 2.0 s</w:t>
            </w:r>
          </w:p>
        </w:tc>
      </w:tr>
      <w:tr>
        <w:tc>
          <w:tcPr>
            <w:tcW w:type="dxa" w:w="4800"/>
            <w:tcMar>
              <w:top w:w="80" w:type="dxa"/>
              <w:start w:w="120" w:type="dxa"/>
              <w:bottom w:w="80" w:type="dxa"/>
              <w:end w:w="120" w:type="dxa"/>
            </w:tcMar>
            <w:vAlign w:val="center"/>
          </w:tcPr>
          <w:p>
            <w:pPr>
              <w:spacing w:after="0" w:line="240" w:lineRule="auto"/>
            </w:pPr>
            <w:r>
              <w:rPr>
                <w:rFonts w:ascii="Calibri" w:hAnsi="Calibri"/>
                <w:b w:val="0"/>
                <w:color w:val="182238"/>
                <w:sz w:val="18"/>
              </w:rPr>
              <w:t>Rule engine, 1,000 rows</w:t>
            </w:r>
          </w:p>
        </w:tc>
        <w:tc>
          <w:tcPr>
            <w:tcW w:type="dxa" w:w="2180"/>
            <w:tcMar>
              <w:top w:w="80" w:type="dxa"/>
              <w:start w:w="120" w:type="dxa"/>
              <w:bottom w:w="80" w:type="dxa"/>
              <w:end w:w="120" w:type="dxa"/>
            </w:tcMar>
            <w:vAlign w:val="center"/>
          </w:tcPr>
          <w:p>
            <w:pPr>
              <w:spacing w:after="0" w:line="240" w:lineRule="auto"/>
            </w:pPr>
            <w:r>
              <w:rPr>
                <w:rFonts w:ascii="Calibri" w:hAnsi="Calibri"/>
                <w:b w:val="0"/>
                <w:color w:val="182238"/>
                <w:sz w:val="18"/>
              </w:rPr>
              <w:t>0.01 s</w:t>
            </w:r>
          </w:p>
        </w:tc>
        <w:tc>
          <w:tcPr>
            <w:tcW w:type="dxa" w:w="2380"/>
            <w:tcMar>
              <w:top w:w="80" w:type="dxa"/>
              <w:start w:w="120" w:type="dxa"/>
              <w:bottom w:w="80" w:type="dxa"/>
              <w:end w:w="120" w:type="dxa"/>
            </w:tcMar>
            <w:vAlign w:val="center"/>
          </w:tcPr>
          <w:p>
            <w:pPr>
              <w:spacing w:after="0" w:line="240" w:lineRule="auto"/>
            </w:pPr>
            <w:r>
              <w:rPr>
                <w:rFonts w:ascii="Calibri" w:hAnsi="Calibri"/>
                <w:b w:val="0"/>
                <w:color w:val="182238"/>
                <w:sz w:val="18"/>
              </w:rPr>
              <w:t>&lt; 0.5 s</w:t>
            </w:r>
          </w:p>
        </w:tc>
      </w:tr>
      <w:tr>
        <w:tc>
          <w:tcPr>
            <w:tcW w:type="dxa" w:w="48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Statistical scoring, 1,000 rows</w:t>
            </w:r>
          </w:p>
        </w:tc>
        <w:tc>
          <w:tcPr>
            <w:tcW w:type="dxa" w:w="218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0.05 s</w:t>
            </w:r>
          </w:p>
        </w:tc>
        <w:tc>
          <w:tcPr>
            <w:tcW w:type="dxa" w:w="238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&lt; 0.5 s</w:t>
            </w:r>
          </w:p>
        </w:tc>
      </w:tr>
      <w:tr>
        <w:tc>
          <w:tcPr>
            <w:tcW w:type="dxa" w:w="4800"/>
            <w:tcMar>
              <w:top w:w="80" w:type="dxa"/>
              <w:start w:w="120" w:type="dxa"/>
              <w:bottom w:w="80" w:type="dxa"/>
              <w:end w:w="120" w:type="dxa"/>
            </w:tcMar>
            <w:vAlign w:val="center"/>
          </w:tcPr>
          <w:p>
            <w:pPr>
              <w:spacing w:after="0" w:line="240" w:lineRule="auto"/>
            </w:pPr>
            <w:r>
              <w:rPr>
                <w:rFonts w:ascii="Calibri" w:hAnsi="Calibri"/>
                <w:b w:val="0"/>
                <w:color w:val="182238"/>
                <w:sz w:val="18"/>
              </w:rPr>
              <w:t>ML including initial model load</w:t>
            </w:r>
          </w:p>
        </w:tc>
        <w:tc>
          <w:tcPr>
            <w:tcW w:type="dxa" w:w="2180"/>
            <w:tcMar>
              <w:top w:w="80" w:type="dxa"/>
              <w:start w:w="120" w:type="dxa"/>
              <w:bottom w:w="80" w:type="dxa"/>
              <w:end w:w="120" w:type="dxa"/>
            </w:tcMar>
            <w:vAlign w:val="center"/>
          </w:tcPr>
          <w:p>
            <w:pPr>
              <w:spacing w:after="0" w:line="240" w:lineRule="auto"/>
            </w:pPr>
            <w:r>
              <w:rPr>
                <w:rFonts w:ascii="Calibri" w:hAnsi="Calibri"/>
                <w:b w:val="0"/>
                <w:color w:val="182238"/>
                <w:sz w:val="18"/>
              </w:rPr>
              <w:t>1.39 s</w:t>
            </w:r>
          </w:p>
        </w:tc>
        <w:tc>
          <w:tcPr>
            <w:tcW w:type="dxa" w:w="2380"/>
            <w:tcMar>
              <w:top w:w="80" w:type="dxa"/>
              <w:start w:w="120" w:type="dxa"/>
              <w:bottom w:w="80" w:type="dxa"/>
              <w:end w:w="120" w:type="dxa"/>
            </w:tcMar>
            <w:vAlign w:val="center"/>
          </w:tcPr>
          <w:p>
            <w:pPr>
              <w:spacing w:after="0" w:line="240" w:lineRule="auto"/>
            </w:pPr>
            <w:r>
              <w:rPr>
                <w:rFonts w:ascii="Calibri" w:hAnsi="Calibri"/>
                <w:b w:val="0"/>
                <w:color w:val="182238"/>
                <w:sz w:val="18"/>
              </w:rPr>
              <w:t>&lt; 5.0 s</w:t>
            </w:r>
          </w:p>
        </w:tc>
      </w:tr>
      <w:tr>
        <w:tc>
          <w:tcPr>
            <w:tcW w:type="dxa" w:w="48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Full pipeline, 500 rows</w:t>
            </w:r>
          </w:p>
        </w:tc>
        <w:tc>
          <w:tcPr>
            <w:tcW w:type="dxa" w:w="218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0.16 s</w:t>
            </w:r>
          </w:p>
        </w:tc>
        <w:tc>
          <w:tcPr>
            <w:tcW w:type="dxa" w:w="238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&lt; 10.0 s</w:t>
            </w:r>
          </w:p>
        </w:tc>
      </w:tr>
      <w:tr>
        <w:tc>
          <w:tcPr>
            <w:tcW w:type="dxa" w:w="4800"/>
            <w:tcMar>
              <w:top w:w="80" w:type="dxa"/>
              <w:start w:w="120" w:type="dxa"/>
              <w:bottom w:w="80" w:type="dxa"/>
              <w:end w:w="120" w:type="dxa"/>
            </w:tcMar>
            <w:vAlign w:val="center"/>
          </w:tcPr>
          <w:p>
            <w:pPr>
              <w:spacing w:after="0" w:line="240" w:lineRule="auto"/>
            </w:pPr>
            <w:r>
              <w:rPr>
                <w:rFonts w:ascii="Calibri" w:hAnsi="Calibri"/>
                <w:b w:val="0"/>
                <w:color w:val="182238"/>
                <w:sz w:val="18"/>
              </w:rPr>
              <w:t>Risk and escalation, 1,000 rows</w:t>
            </w:r>
          </w:p>
        </w:tc>
        <w:tc>
          <w:tcPr>
            <w:tcW w:type="dxa" w:w="2180"/>
            <w:tcMar>
              <w:top w:w="80" w:type="dxa"/>
              <w:start w:w="120" w:type="dxa"/>
              <w:bottom w:w="80" w:type="dxa"/>
              <w:end w:w="120" w:type="dxa"/>
            </w:tcMar>
            <w:vAlign w:val="center"/>
          </w:tcPr>
          <w:p>
            <w:pPr>
              <w:spacing w:after="0" w:line="240" w:lineRule="auto"/>
            </w:pPr>
            <w:r>
              <w:rPr>
                <w:rFonts w:ascii="Calibri" w:hAnsi="Calibri"/>
                <w:b w:val="0"/>
                <w:color w:val="182238"/>
                <w:sz w:val="18"/>
              </w:rPr>
              <w:t>0.10 s</w:t>
            </w:r>
          </w:p>
        </w:tc>
        <w:tc>
          <w:tcPr>
            <w:tcW w:type="dxa" w:w="2380"/>
            <w:tcMar>
              <w:top w:w="80" w:type="dxa"/>
              <w:start w:w="120" w:type="dxa"/>
              <w:bottom w:w="80" w:type="dxa"/>
              <w:end w:w="120" w:type="dxa"/>
            </w:tcMar>
            <w:vAlign w:val="center"/>
          </w:tcPr>
          <w:p>
            <w:pPr>
              <w:spacing w:after="0" w:line="240" w:lineRule="auto"/>
            </w:pPr>
            <w:r>
              <w:rPr>
                <w:rFonts w:ascii="Calibri" w:hAnsi="Calibri"/>
                <w:b w:val="0"/>
                <w:color w:val="182238"/>
                <w:sz w:val="18"/>
              </w:rPr>
              <w:t>&lt; 0.2 s</w:t>
            </w:r>
          </w:p>
        </w:tc>
      </w:tr>
      <w:tr>
        <w:tc>
          <w:tcPr>
            <w:tcW w:type="dxa" w:w="48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Risk-ranked customer page, 515,080 accounts</w:t>
            </w:r>
          </w:p>
        </w:tc>
        <w:tc>
          <w:tcPr>
            <w:tcW w:type="dxa" w:w="218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1.96 s</w:t>
            </w:r>
          </w:p>
        </w:tc>
        <w:tc>
          <w:tcPr>
            <w:tcW w:type="dxa" w:w="238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&lt; 3.0 s</w:t>
            </w:r>
          </w:p>
        </w:tc>
      </w:tr>
    </w:tbl>
    <w:p>
      <w:pPr>
        <w:spacing w:after="20"/>
      </w:pPr>
    </w:p>
    <w:p>
      <w:pPr>
        <w:pStyle w:val="ListBullet"/>
        <w:spacing w:after="100" w:line="264" w:lineRule="auto"/>
        <w:ind w:left="720" w:hanging="360"/>
      </w:pPr>
      <w:r>
        <w:rPr>
          <w:rFonts w:ascii="Calibri" w:hAnsi="Calibri"/>
          <w:color w:val="182238"/>
          <w:sz w:val="21"/>
        </w:rPr>
        <w:t>DuckDB applies filters before in-memory analysis and enforces a configurable maximum query-row boundary.</w:t>
      </w:r>
    </w:p>
    <w:p>
      <w:pPr>
        <w:pStyle w:val="ListBullet"/>
        <w:spacing w:after="100" w:line="264" w:lineRule="auto"/>
        <w:ind w:left="720" w:hanging="360"/>
      </w:pPr>
      <w:r>
        <w:rPr>
          <w:rFonts w:ascii="Calibri" w:hAnsi="Calibri"/>
          <w:color w:val="182238"/>
          <w:sz w:val="21"/>
        </w:rPr>
        <w:t>Graph analysis caps source edges, results and cycle-search work.</w:t>
      </w:r>
    </w:p>
    <w:p>
      <w:pPr>
        <w:pStyle w:val="ListBullet"/>
        <w:spacing w:after="100" w:line="264" w:lineRule="auto"/>
        <w:ind w:left="720" w:hanging="360"/>
      </w:pPr>
      <w:r>
        <w:rPr>
          <w:rFonts w:ascii="Calibri" w:hAnsi="Calibri"/>
          <w:color w:val="182238"/>
          <w:sz w:val="21"/>
        </w:rPr>
        <w:t>The model is lazily trained and cached by active knowledge context.</w:t>
      </w:r>
    </w:p>
    <w:p>
      <w:pPr>
        <w:pStyle w:val="ListBullet"/>
        <w:spacing w:after="100" w:line="264" w:lineRule="auto"/>
        <w:ind w:left="720" w:hanging="360"/>
      </w:pPr>
      <w:r>
        <w:rPr>
          <w:rFonts w:ascii="Calibri" w:hAnsi="Calibri"/>
          <w:color w:val="182238"/>
          <w:sz w:val="21"/>
        </w:rPr>
        <w:t>Bounded executor modules define model-row, feature, explanation-count, text-length and total-time budgets.</w:t>
      </w:r>
    </w:p>
    <w:p>
      <w:pPr>
        <w:pStyle w:val="ListBullet"/>
        <w:spacing w:after="100" w:line="264" w:lineRule="auto"/>
        <w:ind w:left="720" w:hanging="360"/>
      </w:pPr>
      <w:r>
        <w:rPr>
          <w:rFonts w:ascii="Calibri" w:hAnsi="Calibri"/>
          <w:color w:val="182238"/>
          <w:sz w:val="21"/>
        </w:rPr>
        <w:t>FastAPI query service primitives can limit concurrent investigations with a bounded semaphore.</w:t>
      </w:r>
    </w:p>
    <w:p>
      <w:pPr>
        <w:pStyle w:val="ListBullet"/>
        <w:spacing w:after="100" w:line="264" w:lineRule="auto"/>
        <w:ind w:left="720" w:hanging="360"/>
      </w:pPr>
      <w:r>
        <w:rPr>
          <w:rFonts w:ascii="Calibri" w:hAnsi="Calibri"/>
          <w:color w:val="182238"/>
          <w:sz w:val="21"/>
        </w:rPr>
        <w:t>Frontend routes and Plotly are lazy-loaded; the Cartesian chart bundle is isolated from ordinary routes.</w:t>
      </w:r>
    </w:p>
    <w:p>
      <w:pPr>
        <w:pStyle w:val="ListBullet"/>
        <w:spacing w:after="100" w:line="264" w:lineRule="auto"/>
        <w:ind w:left="720" w:hanging="360"/>
      </w:pPr>
      <w:r>
        <w:rPr>
          <w:rFonts w:ascii="Calibri" w:hAnsi="Calibri"/>
          <w:color w:val="182238"/>
          <w:sz w:val="21"/>
        </w:rPr>
        <w:t>Production bootstrap downloads a private DuckDB bundle, verifies SHA-256 and required tables, then installs atomically.</w:t>
      </w:r>
    </w:p>
    <w:p>
      <w:pPr>
        <w:keepNext/>
        <w:pageBreakBefore/>
        <w:spacing w:before="0" w:after="100"/>
      </w:pPr>
      <w:r>
        <w:rPr>
          <w:rFonts w:ascii="Calibri" w:hAnsi="Calibri"/>
          <w:b/>
          <w:color w:val="0B1930"/>
          <w:sz w:val="50"/>
        </w:rPr>
        <w:t>13. Validation, Known Limits and Honest Claims</w:t>
      </w:r>
    </w:p>
    <w:p>
      <w:pPr>
        <w:pStyle w:val="Heading1"/>
      </w:pPr>
      <w:r>
        <w:t>Validation coverage</w:t>
      </w:r>
    </w:p>
    <w:p>
      <w:pPr>
        <w:pStyle w:val="ListBullet"/>
        <w:spacing w:after="100" w:line="264" w:lineRule="auto"/>
        <w:ind w:left="720" w:hanging="360"/>
      </w:pPr>
      <w:r>
        <w:rPr>
          <w:rFonts w:ascii="Calibri" w:hAnsi="Calibri"/>
          <w:color w:val="182238"/>
          <w:sz w:val="21"/>
        </w:rPr>
        <w:t>Intent extraction, planner selectivity and canonical query differences.</w:t>
      </w:r>
    </w:p>
    <w:p>
      <w:pPr>
        <w:pStyle w:val="ListBullet"/>
        <w:spacing w:after="100" w:line="264" w:lineRule="auto"/>
        <w:ind w:left="720" w:hanging="360"/>
      </w:pPr>
      <w:r>
        <w:rPr>
          <w:rFonts w:ascii="Calibri" w:hAnsi="Calibri"/>
          <w:color w:val="182238"/>
          <w:sz w:val="21"/>
        </w:rPr>
        <w:t>Feature windows, rule behavior, statistics, model outputs, score boundaries and escalation.</w:t>
      </w:r>
    </w:p>
    <w:p>
      <w:pPr>
        <w:pStyle w:val="ListBullet"/>
        <w:spacing w:after="100" w:line="264" w:lineRule="auto"/>
        <w:ind w:left="720" w:hanging="360"/>
      </w:pPr>
      <w:r>
        <w:rPr>
          <w:rFonts w:ascii="Calibri" w:hAnsi="Calibri"/>
          <w:color w:val="182238"/>
          <w:sz w:val="21"/>
        </w:rPr>
        <w:t>Grounded explanations, unsupported-number rejection and deterministic fallback.</w:t>
      </w:r>
    </w:p>
    <w:p>
      <w:pPr>
        <w:pStyle w:val="ListBullet"/>
        <w:spacing w:after="100" w:line="264" w:lineRule="auto"/>
        <w:ind w:left="720" w:hanging="360"/>
      </w:pPr>
      <w:r>
        <w:rPr>
          <w:rFonts w:ascii="Calibri" w:hAnsi="Calibri"/>
          <w:color w:val="182238"/>
          <w:sz w:val="21"/>
        </w:rPr>
        <w:t>Dataset lifecycle, schema mapping, fingerprints, activation, deletion and immutable attribution.</w:t>
      </w:r>
    </w:p>
    <w:p>
      <w:pPr>
        <w:pStyle w:val="ListBullet"/>
        <w:spacing w:after="100" w:line="264" w:lineRule="auto"/>
        <w:ind w:left="720" w:hanging="360"/>
      </w:pPr>
      <w:r>
        <w:rPr>
          <w:rFonts w:ascii="Calibri" w:hAnsi="Calibri"/>
          <w:color w:val="182238"/>
          <w:sz w:val="21"/>
        </w:rPr>
        <w:t>Customer and transaction browsing, workflow persistence, audit, exports and governance contracts.</w:t>
      </w:r>
    </w:p>
    <w:p>
      <w:pPr>
        <w:pStyle w:val="ListBullet"/>
        <w:spacing w:after="100" w:line="264" w:lineRule="auto"/>
        <w:ind w:left="720" w:hanging="360"/>
      </w:pPr>
      <w:r>
        <w:rPr>
          <w:rFonts w:ascii="Calibri" w:hAnsi="Calibri"/>
          <w:color w:val="182238"/>
          <w:sz w:val="21"/>
        </w:rPr>
        <w:t>Authentication primitives, origin enforcement, SQL parameterization and failure-message safety.</w:t>
      </w:r>
    </w:p>
    <w:p>
      <w:pPr>
        <w:pStyle w:val="ListBullet"/>
        <w:spacing w:after="100" w:line="264" w:lineRule="auto"/>
        <w:ind w:left="720" w:hanging="360"/>
      </w:pPr>
      <w:r>
        <w:rPr>
          <w:rFonts w:ascii="Calibri" w:hAnsi="Calibri"/>
          <w:color w:val="182238"/>
          <w:sz w:val="21"/>
        </w:rPr>
        <w:t>React query, navigation, dataset, API, trace, investigation and authentication-disabled behavior.</w:t>
      </w:r>
    </w:p>
    <w:p>
      <w:pPr>
        <w:pStyle w:val="ListBullet"/>
        <w:spacing w:after="100" w:line="264" w:lineRule="auto"/>
        <w:ind w:left="720" w:hanging="360"/>
      </w:pPr>
      <w:r>
        <w:rPr>
          <w:rFonts w:ascii="Calibri" w:hAnsi="Calibri"/>
          <w:color w:val="182238"/>
          <w:sz w:val="21"/>
        </w:rPr>
        <w:t>Backend unit CI and frontend test, lint and production-build CI.</w:t>
      </w:r>
    </w:p>
    <w:p>
      <w:pPr>
        <w:pStyle w:val="Heading1"/>
      </w:pPr>
      <w:r>
        <w:t>Measured SAML-D rule recall</w:t>
      </w:r>
    </w:p>
    <w:tbl>
      <w:tblPr>
        <w:tblStyle w:val="TableGrid"/>
        <w:tblW w:type="dxa" w:w="9360"/>
        <w:jc w:val="center"/>
        <w:tblLayout w:type="fixed"/>
        <w:tblLook w:firstColumn="1" w:firstRow="1" w:lastColumn="0" w:lastRow="0" w:noHBand="0" w:noVBand="1" w:val="04A0"/>
        <w:tblInd w:w="120" w:type="dxa"/>
      </w:tblPr>
      <w:tblGrid>
        <w:gridCol w:w="2400"/>
        <w:gridCol w:w="1600"/>
        <w:gridCol w:w="5360"/>
      </w:tblGrid>
      <w:tr>
        <w:trPr>
          <w:tblHeader w:val="1"/>
        </w:trPr>
        <w:tc>
          <w:tcPr>
            <w:tcW w:type="dxa" w:w="2400"/>
            <w:tcMar>
              <w:top w:w="80" w:type="dxa"/>
              <w:start w:w="120" w:type="dxa"/>
              <w:bottom w:w="80" w:type="dxa"/>
              <w:end w:w="120" w:type="dxa"/>
            </w:tcMar>
            <w:vAlign w:val="center"/>
            <w:shd w:fill="0B1930"/>
          </w:tcPr>
          <w:p>
            <w:pPr>
              <w:spacing w:after="0" w:line="240" w:lineRule="auto"/>
            </w:pPr>
            <w:r>
              <w:rPr>
                <w:rFonts w:ascii="Calibri" w:hAnsi="Calibri"/>
                <w:b/>
                <w:color w:val="FFFFFF"/>
                <w:sz w:val="18"/>
              </w:rPr>
              <w:t>Typology</w:t>
            </w:r>
          </w:p>
        </w:tc>
        <w:tc>
          <w:tcPr>
            <w:tcW w:type="dxa" w:w="1600"/>
            <w:tcMar>
              <w:top w:w="80" w:type="dxa"/>
              <w:start w:w="120" w:type="dxa"/>
              <w:bottom w:w="80" w:type="dxa"/>
              <w:end w:w="120" w:type="dxa"/>
            </w:tcMar>
            <w:vAlign w:val="center"/>
            <w:shd w:fill="0B1930"/>
          </w:tcPr>
          <w:p>
            <w:pPr>
              <w:spacing w:after="0" w:line="240" w:lineRule="auto"/>
            </w:pPr>
            <w:r>
              <w:rPr>
                <w:rFonts w:ascii="Calibri" w:hAnsi="Calibri"/>
                <w:b/>
                <w:color w:val="FFFFFF"/>
                <w:sz w:val="18"/>
              </w:rPr>
              <w:t>Recall</w:t>
            </w:r>
          </w:p>
        </w:tc>
        <w:tc>
          <w:tcPr>
            <w:tcW w:type="dxa" w:w="5360"/>
            <w:tcMar>
              <w:top w:w="80" w:type="dxa"/>
              <w:start w:w="120" w:type="dxa"/>
              <w:bottom w:w="80" w:type="dxa"/>
              <w:end w:w="120" w:type="dxa"/>
            </w:tcMar>
            <w:vAlign w:val="center"/>
            <w:shd w:fill="0B1930"/>
          </w:tcPr>
          <w:p>
            <w:pPr>
              <w:spacing w:after="0" w:line="240" w:lineRule="auto"/>
            </w:pPr>
            <w:r>
              <w:rPr>
                <w:rFonts w:ascii="Calibri" w:hAnsi="Calibri"/>
                <w:b/>
                <w:color w:val="FFFFFF"/>
                <w:sz w:val="18"/>
              </w:rPr>
              <w:t>Interpretation</w:t>
            </w:r>
          </w:p>
        </w:tc>
      </w:tr>
      <w:tr>
        <w:tc>
          <w:tcPr>
            <w:tcW w:type="dxa" w:w="2400"/>
            <w:tcMar>
              <w:top w:w="80" w:type="dxa"/>
              <w:start w:w="120" w:type="dxa"/>
              <w:bottom w:w="80" w:type="dxa"/>
              <w:end w:w="120" w:type="dxa"/>
            </w:tcMar>
            <w:vAlign w:val="center"/>
          </w:tcPr>
          <w:p>
            <w:pPr>
              <w:spacing w:after="0" w:line="240" w:lineRule="auto"/>
            </w:pPr>
            <w:r>
              <w:rPr>
                <w:rFonts w:ascii="Calibri" w:hAnsi="Calibri"/>
                <w:b w:val="0"/>
                <w:color w:val="182238"/>
                <w:sz w:val="18"/>
              </w:rPr>
              <w:t>Structuring</w:t>
            </w:r>
          </w:p>
        </w:tc>
        <w:tc>
          <w:tcPr>
            <w:tcW w:type="dxa" w:w="1600"/>
            <w:tcMar>
              <w:top w:w="80" w:type="dxa"/>
              <w:start w:w="120" w:type="dxa"/>
              <w:bottom w:w="80" w:type="dxa"/>
              <w:end w:w="120" w:type="dxa"/>
            </w:tcMar>
            <w:vAlign w:val="center"/>
          </w:tcPr>
          <w:p>
            <w:pPr>
              <w:spacing w:after="0" w:line="240" w:lineRule="auto"/>
            </w:pPr>
            <w:r>
              <w:rPr>
                <w:rFonts w:ascii="Calibri" w:hAnsi="Calibri"/>
                <w:b w:val="0"/>
                <w:color w:val="182238"/>
                <w:sz w:val="18"/>
              </w:rPr>
              <w:t>0.00%</w:t>
            </w:r>
          </w:p>
        </w:tc>
        <w:tc>
          <w:tcPr>
            <w:tcW w:type="dxa" w:w="5360"/>
            <w:tcMar>
              <w:top w:w="80" w:type="dxa"/>
              <w:start w:w="120" w:type="dxa"/>
              <w:bottom w:w="80" w:type="dxa"/>
              <w:end w:w="120" w:type="dxa"/>
            </w:tcMar>
            <w:vAlign w:val="center"/>
          </w:tcPr>
          <w:p>
            <w:pPr>
              <w:spacing w:after="0" w:line="240" w:lineRule="auto"/>
            </w:pPr>
            <w:r>
              <w:rPr>
                <w:rFonts w:ascii="Calibri" w:hAnsi="Calibri"/>
                <w:b w:val="0"/>
                <w:color w:val="182238"/>
                <w:sz w:val="18"/>
              </w:rPr>
              <w:t>Compact retained data cannot reconstruct the three-event account sequence</w:t>
            </w:r>
          </w:p>
        </w:tc>
      </w:tr>
      <w:tr>
        <w:tc>
          <w:tcPr>
            <w:tcW w:type="dxa" w:w="24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Smurfing</w:t>
            </w:r>
          </w:p>
        </w:tc>
        <w:tc>
          <w:tcPr>
            <w:tcW w:type="dxa" w:w="16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46.89%</w:t>
            </w:r>
          </w:p>
        </w:tc>
        <w:tc>
          <w:tcPr>
            <w:tcW w:type="dxa" w:w="53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Partial signal coverage</w:t>
            </w:r>
          </w:p>
        </w:tc>
      </w:tr>
      <w:tr>
        <w:tc>
          <w:tcPr>
            <w:tcW w:type="dxa" w:w="2400"/>
            <w:tcMar>
              <w:top w:w="80" w:type="dxa"/>
              <w:start w:w="120" w:type="dxa"/>
              <w:bottom w:w="80" w:type="dxa"/>
              <w:end w:w="120" w:type="dxa"/>
            </w:tcMar>
            <w:vAlign w:val="center"/>
          </w:tcPr>
          <w:p>
            <w:pPr>
              <w:spacing w:after="0" w:line="240" w:lineRule="auto"/>
            </w:pPr>
            <w:r>
              <w:rPr>
                <w:rFonts w:ascii="Calibri" w:hAnsi="Calibri"/>
                <w:b w:val="0"/>
                <w:color w:val="182238"/>
                <w:sz w:val="18"/>
              </w:rPr>
              <w:t>Cash withdrawal</w:t>
            </w:r>
          </w:p>
        </w:tc>
        <w:tc>
          <w:tcPr>
            <w:tcW w:type="dxa" w:w="1600"/>
            <w:tcMar>
              <w:top w:w="80" w:type="dxa"/>
              <w:start w:w="120" w:type="dxa"/>
              <w:bottom w:w="80" w:type="dxa"/>
              <w:end w:w="120" w:type="dxa"/>
            </w:tcMar>
            <w:vAlign w:val="center"/>
          </w:tcPr>
          <w:p>
            <w:pPr>
              <w:spacing w:after="0" w:line="240" w:lineRule="auto"/>
            </w:pPr>
            <w:r>
              <w:rPr>
                <w:rFonts w:ascii="Calibri" w:hAnsi="Calibri"/>
                <w:b w:val="0"/>
                <w:color w:val="182238"/>
                <w:sz w:val="18"/>
              </w:rPr>
              <w:t>70.69%</w:t>
            </w:r>
          </w:p>
        </w:tc>
        <w:tc>
          <w:tcPr>
            <w:tcW w:type="dxa" w:w="5360"/>
            <w:tcMar>
              <w:top w:w="80" w:type="dxa"/>
              <w:start w:w="120" w:type="dxa"/>
              <w:bottom w:w="80" w:type="dxa"/>
              <w:end w:w="120" w:type="dxa"/>
            </w:tcMar>
            <w:vAlign w:val="center"/>
          </w:tcPr>
          <w:p>
            <w:pPr>
              <w:spacing w:after="0" w:line="240" w:lineRule="auto"/>
            </w:pPr>
            <w:r>
              <w:rPr>
                <w:rFonts w:ascii="Calibri" w:hAnsi="Calibri"/>
                <w:b w:val="0"/>
                <w:color w:val="182238"/>
                <w:sz w:val="18"/>
              </w:rPr>
              <w:t>Strongest multi-event rule coverage</w:t>
            </w:r>
          </w:p>
        </w:tc>
      </w:tr>
      <w:tr>
        <w:tc>
          <w:tcPr>
            <w:tcW w:type="dxa" w:w="24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Single large</w:t>
            </w:r>
          </w:p>
        </w:tc>
        <w:tc>
          <w:tcPr>
            <w:tcW w:type="dxa" w:w="16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100.00%</w:t>
            </w:r>
          </w:p>
        </w:tc>
        <w:tc>
          <w:tcPr>
            <w:tcW w:type="dxa" w:w="53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Direct amount rule</w:t>
            </w:r>
          </w:p>
        </w:tc>
      </w:tr>
      <w:tr>
        <w:tc>
          <w:tcPr>
            <w:tcW w:type="dxa" w:w="2400"/>
            <w:tcMar>
              <w:top w:w="80" w:type="dxa"/>
              <w:start w:w="120" w:type="dxa"/>
              <w:bottom w:w="80" w:type="dxa"/>
              <w:end w:w="120" w:type="dxa"/>
            </w:tcMar>
            <w:vAlign w:val="center"/>
          </w:tcPr>
          <w:p>
            <w:pPr>
              <w:spacing w:after="0" w:line="240" w:lineRule="auto"/>
            </w:pPr>
            <w:r>
              <w:rPr>
                <w:rFonts w:ascii="Calibri" w:hAnsi="Calibri"/>
                <w:b w:val="0"/>
                <w:color w:val="182238"/>
                <w:sz w:val="18"/>
              </w:rPr>
              <w:t>Deposit-send</w:t>
            </w:r>
          </w:p>
        </w:tc>
        <w:tc>
          <w:tcPr>
            <w:tcW w:type="dxa" w:w="1600"/>
            <w:tcMar>
              <w:top w:w="80" w:type="dxa"/>
              <w:start w:w="120" w:type="dxa"/>
              <w:bottom w:w="80" w:type="dxa"/>
              <w:end w:w="120" w:type="dxa"/>
            </w:tcMar>
            <w:vAlign w:val="center"/>
          </w:tcPr>
          <w:p>
            <w:pPr>
              <w:spacing w:after="0" w:line="240" w:lineRule="auto"/>
            </w:pPr>
            <w:r>
              <w:rPr>
                <w:rFonts w:ascii="Calibri" w:hAnsi="Calibri"/>
                <w:b w:val="0"/>
                <w:color w:val="182238"/>
                <w:sz w:val="18"/>
              </w:rPr>
              <w:t>16.61%</w:t>
            </w:r>
          </w:p>
        </w:tc>
        <w:tc>
          <w:tcPr>
            <w:tcW w:type="dxa" w:w="5360"/>
            <w:tcMar>
              <w:top w:w="80" w:type="dxa"/>
              <w:start w:w="120" w:type="dxa"/>
              <w:bottom w:w="80" w:type="dxa"/>
              <w:end w:w="120" w:type="dxa"/>
            </w:tcMar>
            <w:vAlign w:val="center"/>
          </w:tcPr>
          <w:p>
            <w:pPr>
              <w:spacing w:after="0" w:line="240" w:lineRule="auto"/>
            </w:pPr>
            <w:r>
              <w:rPr>
                <w:rFonts w:ascii="Calibri" w:hAnsi="Calibri"/>
                <w:b w:val="0"/>
                <w:color w:val="182238"/>
                <w:sz w:val="18"/>
              </w:rPr>
              <w:t>Retention and sequence sensitivity</w:t>
            </w:r>
          </w:p>
        </w:tc>
      </w:tr>
      <w:tr>
        <w:tc>
          <w:tcPr>
            <w:tcW w:type="dxa" w:w="24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Fan-in</w:t>
            </w:r>
          </w:p>
        </w:tc>
        <w:tc>
          <w:tcPr>
            <w:tcW w:type="dxa" w:w="16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42.86%</w:t>
            </w:r>
          </w:p>
        </w:tc>
        <w:tc>
          <w:tcPr>
            <w:tcW w:type="dxa" w:w="53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Partial topology coverage</w:t>
            </w:r>
          </w:p>
        </w:tc>
      </w:tr>
      <w:tr>
        <w:tc>
          <w:tcPr>
            <w:tcW w:type="dxa" w:w="2400"/>
            <w:tcMar>
              <w:top w:w="80" w:type="dxa"/>
              <w:start w:w="120" w:type="dxa"/>
              <w:bottom w:w="80" w:type="dxa"/>
              <w:end w:w="120" w:type="dxa"/>
            </w:tcMar>
            <w:vAlign w:val="center"/>
          </w:tcPr>
          <w:p>
            <w:pPr>
              <w:spacing w:after="0" w:line="240" w:lineRule="auto"/>
            </w:pPr>
            <w:r>
              <w:rPr>
                <w:rFonts w:ascii="Calibri" w:hAnsi="Calibri"/>
                <w:b w:val="0"/>
                <w:color w:val="182238"/>
                <w:sz w:val="18"/>
              </w:rPr>
              <w:t>Fan-out</w:t>
            </w:r>
          </w:p>
        </w:tc>
        <w:tc>
          <w:tcPr>
            <w:tcW w:type="dxa" w:w="1600"/>
            <w:tcMar>
              <w:top w:w="80" w:type="dxa"/>
              <w:start w:w="120" w:type="dxa"/>
              <w:bottom w:w="80" w:type="dxa"/>
              <w:end w:w="120" w:type="dxa"/>
            </w:tcMar>
            <w:vAlign w:val="center"/>
          </w:tcPr>
          <w:p>
            <w:pPr>
              <w:spacing w:after="0" w:line="240" w:lineRule="auto"/>
            </w:pPr>
            <w:r>
              <w:rPr>
                <w:rFonts w:ascii="Calibri" w:hAnsi="Calibri"/>
                <w:b w:val="0"/>
                <w:color w:val="182238"/>
                <w:sz w:val="18"/>
              </w:rPr>
              <w:t>37.13%</w:t>
            </w:r>
          </w:p>
        </w:tc>
        <w:tc>
          <w:tcPr>
            <w:tcW w:type="dxa" w:w="5360"/>
            <w:tcMar>
              <w:top w:w="80" w:type="dxa"/>
              <w:start w:w="120" w:type="dxa"/>
              <w:bottom w:w="80" w:type="dxa"/>
              <w:end w:w="120" w:type="dxa"/>
            </w:tcMar>
            <w:vAlign w:val="center"/>
          </w:tcPr>
          <w:p>
            <w:pPr>
              <w:spacing w:after="0" w:line="240" w:lineRule="auto"/>
            </w:pPr>
            <w:r>
              <w:rPr>
                <w:rFonts w:ascii="Calibri" w:hAnsi="Calibri"/>
                <w:b w:val="0"/>
                <w:color w:val="182238"/>
                <w:sz w:val="18"/>
              </w:rPr>
              <w:t>Partial topology coverage</w:t>
            </w:r>
          </w:p>
        </w:tc>
      </w:tr>
    </w:tbl>
    <w:p>
      <w:pPr>
        <w:spacing w:after="20"/>
      </w:pPr>
    </w:p>
    <w:p>
      <w:pPr>
        <w:keepLines/>
        <w:spacing w:before="80" w:after="160" w:line="259" w:lineRule="auto"/>
        <w:ind w:left="115" w:right="115"/>
        <w:shd w:fill="FFF4E5"/>
        <w:pBdr>
          <w:top w:val="single" w:sz="2" w:space="5" w:color="FFF4E5"/>
          <w:left w:val="single" w:sz="2" w:space="5" w:color="FFF4E5"/>
          <w:bottom w:val="single" w:sz="2" w:space="5" w:color="FFF4E5"/>
          <w:right w:val="single" w:sz="2" w:space="5" w:color="FFF4E5"/>
        </w:pBdr>
      </w:pPr>
      <w:r>
        <w:rPr>
          <w:rFonts w:ascii="Calibri" w:hAnsi="Calibri"/>
          <w:b/>
          <w:color w:val="2F6BFF"/>
          <w:sz w:val="18"/>
        </w:rPr>
        <w:t>JUDGE-SAFE INTERPRETATION</w:t>
        <w:br/>
      </w:r>
      <w:r>
        <w:rPr>
          <w:rFonts w:ascii="Calibri" w:hAnsi="Calibri"/>
          <w:color w:val="182238"/>
          <w:sz w:val="21"/>
        </w:rPr>
        <w:t>These are rule-recall diagnostics on a compact SAML-D table, not end-to-end model precision or bank-production performance. Do not claim a measured false-positive reduction or production detection accuracy without a labelled evaluation protocol.</w:t>
      </w:r>
    </w:p>
    <w:p>
      <w:pPr>
        <w:keepNext/>
        <w:pageBreakBefore/>
        <w:spacing w:before="0" w:after="100"/>
      </w:pPr>
      <w:r>
        <w:rPr>
          <w:rFonts w:ascii="Calibri" w:hAnsi="Calibri"/>
          <w:b/>
          <w:color w:val="0B1930"/>
          <w:sz w:val="50"/>
        </w:rPr>
        <w:t>14. Production Readiness and Pre-Demo Checklist</w:t>
      </w:r>
    </w:p>
    <w:p>
      <w:pPr>
        <w:pStyle w:val="Heading1"/>
      </w:pPr>
      <w:r>
        <w:t>Implemented production foundations</w:t>
      </w:r>
    </w:p>
    <w:p>
      <w:pPr>
        <w:pStyle w:val="ListBullet"/>
        <w:spacing w:after="100" w:line="264" w:lineRule="auto"/>
        <w:ind w:left="720" w:hanging="360"/>
      </w:pPr>
      <w:r>
        <w:rPr>
          <w:rFonts w:ascii="Calibri" w:hAnsi="Calibri"/>
          <w:color w:val="182238"/>
          <w:sz w:val="21"/>
        </w:rPr>
        <w:t>Validated environment configuration and exact allowed origins.</w:t>
      </w:r>
    </w:p>
    <w:p>
      <w:pPr>
        <w:pStyle w:val="ListBullet"/>
        <w:spacing w:after="100" w:line="264" w:lineRule="auto"/>
        <w:ind w:left="720" w:hanging="360"/>
      </w:pPr>
      <w:r>
        <w:rPr>
          <w:rFonts w:ascii="Calibri" w:hAnsi="Calibri"/>
          <w:color w:val="182238"/>
          <w:sz w:val="21"/>
        </w:rPr>
        <w:t>Liveness and data-aware readiness probes.</w:t>
      </w:r>
    </w:p>
    <w:p>
      <w:pPr>
        <w:pStyle w:val="ListBullet"/>
        <w:spacing w:after="100" w:line="264" w:lineRule="auto"/>
        <w:ind w:left="720" w:hanging="360"/>
      </w:pPr>
      <w:r>
        <w:rPr>
          <w:rFonts w:ascii="Calibri" w:hAnsi="Calibri"/>
          <w:color w:val="182238"/>
          <w:sz w:val="21"/>
        </w:rPr>
        <w:t>Private data-bundle bootstrap with checksum and atomic installation.</w:t>
      </w:r>
    </w:p>
    <w:p>
      <w:pPr>
        <w:pStyle w:val="ListBullet"/>
        <w:spacing w:after="100" w:line="264" w:lineRule="auto"/>
        <w:ind w:left="720" w:hanging="360"/>
      </w:pPr>
      <w:r>
        <w:rPr>
          <w:rFonts w:ascii="Calibri" w:hAnsi="Calibri"/>
          <w:color w:val="182238"/>
          <w:sz w:val="21"/>
        </w:rPr>
        <w:t>Persistent DuckDB disk configuration in the Render blueprint.</w:t>
      </w:r>
    </w:p>
    <w:p>
      <w:pPr>
        <w:pStyle w:val="ListBullet"/>
        <w:spacing w:after="100" w:line="264" w:lineRule="auto"/>
        <w:ind w:left="720" w:hanging="360"/>
      </w:pPr>
      <w:r>
        <w:rPr>
          <w:rFonts w:ascii="Calibri" w:hAnsi="Calibri"/>
          <w:color w:val="182238"/>
          <w:sz w:val="21"/>
        </w:rPr>
        <w:t>Frontend runtime proxy that fails closed when the API origin is not configured.</w:t>
      </w:r>
    </w:p>
    <w:p>
      <w:pPr>
        <w:pStyle w:val="ListBullet"/>
        <w:spacing w:after="100" w:line="264" w:lineRule="auto"/>
        <w:ind w:left="720" w:hanging="360"/>
      </w:pPr>
      <w:r>
        <w:rPr>
          <w:rFonts w:ascii="Calibri" w:hAnsi="Calibri"/>
          <w:color w:val="182238"/>
          <w:sz w:val="21"/>
        </w:rPr>
        <w:t>CI jobs for backend contracts and frontend tests, lint and build.</w:t>
      </w:r>
    </w:p>
    <w:p>
      <w:pPr>
        <w:pStyle w:val="ListBullet"/>
        <w:spacing w:after="100" w:line="264" w:lineRule="auto"/>
        <w:ind w:left="720" w:hanging="360"/>
      </w:pPr>
      <w:r>
        <w:rPr>
          <w:rFonts w:ascii="Calibri" w:hAnsi="Calibri"/>
          <w:color w:val="182238"/>
          <w:sz w:val="21"/>
        </w:rPr>
        <w:t>Structured errors, no-store headers, typed API models and audit provenance.</w:t>
      </w:r>
    </w:p>
    <w:p>
      <w:pPr>
        <w:pStyle w:val="Heading1"/>
      </w:pPr>
      <w:r>
        <w:t>Must be resolved before a production claim</w:t>
      </w:r>
    </w:p>
    <w:p>
      <w:pPr>
        <w:pStyle w:val="ListNumber"/>
        <w:numPr>
          <w:ilvl w:val="0"/>
          <w:numId w:val="10"/>
        </w:numPr>
        <w:spacing w:after="100"/>
        <w:ind w:left="720" w:hanging="360"/>
      </w:pPr>
      <w:r>
        <w:rPr>
          <w:rFonts w:ascii="Calibri" w:hAnsi="Calibri"/>
          <w:color w:val="182238"/>
          <w:sz w:val="21"/>
        </w:rPr>
        <w:t>Mount the authenticated modular routers or protect the direct api.main endpoints.</w:t>
      </w:r>
    </w:p>
    <w:p>
      <w:pPr>
        <w:pStyle w:val="ListNumber"/>
        <w:numPr>
          <w:ilvl w:val="0"/>
          <w:numId w:val="10"/>
        </w:numPr>
        <w:spacing w:after="100"/>
        <w:ind w:left="720" w:hanging="360"/>
      </w:pPr>
      <w:r>
        <w:rPr>
          <w:rFonts w:ascii="Calibri" w:hAnsi="Calibri"/>
          <w:color w:val="182238"/>
          <w:sz w:val="21"/>
        </w:rPr>
        <w:t>Connect an enterprise identity provider and institution-specific role model.</w:t>
      </w:r>
    </w:p>
    <w:p>
      <w:pPr>
        <w:pStyle w:val="ListNumber"/>
        <w:numPr>
          <w:ilvl w:val="0"/>
          <w:numId w:val="10"/>
        </w:numPr>
        <w:spacing w:after="100"/>
        <w:ind w:left="720" w:hanging="360"/>
      </w:pPr>
      <w:r>
        <w:rPr>
          <w:rFonts w:ascii="Calibri" w:hAnsi="Calibri"/>
          <w:color w:val="182238"/>
          <w:sz w:val="21"/>
        </w:rPr>
        <w:t>Add maker-checker policy change controls and production secrets management.</w:t>
      </w:r>
    </w:p>
    <w:p>
      <w:pPr>
        <w:pStyle w:val="ListNumber"/>
        <w:numPr>
          <w:ilvl w:val="0"/>
          <w:numId w:val="10"/>
        </w:numPr>
        <w:spacing w:after="100"/>
        <w:ind w:left="720" w:hanging="360"/>
      </w:pPr>
      <w:r>
        <w:rPr>
          <w:rFonts w:ascii="Calibri" w:hAnsi="Calibri"/>
          <w:color w:val="182238"/>
          <w:sz w:val="21"/>
        </w:rPr>
        <w:t>Reconcile the model-card limitation text that says drift monitoring is absent even though PSI monitoring is implemented.</w:t>
      </w:r>
    </w:p>
    <w:p>
      <w:pPr>
        <w:pStyle w:val="ListNumber"/>
        <w:numPr>
          <w:ilvl w:val="0"/>
          <w:numId w:val="10"/>
        </w:numPr>
        <w:spacing w:after="100"/>
        <w:ind w:left="720" w:hanging="360"/>
      </w:pPr>
      <w:r>
        <w:rPr>
          <w:rFonts w:ascii="Calibri" w:hAnsi="Calibri"/>
          <w:color w:val="182238"/>
          <w:sz w:val="21"/>
        </w:rPr>
        <w:t>Benchmark detector precision, recall and false-positive rate using a defined labelled holdout.</w:t>
      </w:r>
    </w:p>
    <w:p>
      <w:pPr>
        <w:pStyle w:val="ListNumber"/>
        <w:numPr>
          <w:ilvl w:val="0"/>
          <w:numId w:val="10"/>
        </w:numPr>
        <w:spacing w:after="100"/>
        <w:ind w:left="720" w:hanging="360"/>
      </w:pPr>
      <w:r>
        <w:rPr>
          <w:rFonts w:ascii="Calibri" w:hAnsi="Calibri"/>
          <w:color w:val="182238"/>
          <w:sz w:val="21"/>
        </w:rPr>
        <w:t>Calibrate thresholds, countries, currencies and reporting rules for the target institution and jurisdiction.</w:t>
      </w:r>
    </w:p>
    <w:p>
      <w:pPr>
        <w:pStyle w:val="ListNumber"/>
        <w:numPr>
          <w:ilvl w:val="0"/>
          <w:numId w:val="10"/>
        </w:numPr>
        <w:spacing w:after="100"/>
        <w:ind w:left="720" w:hanging="360"/>
      </w:pPr>
      <w:r>
        <w:rPr>
          <w:rFonts w:ascii="Calibri" w:hAnsi="Calibri"/>
          <w:color w:val="182238"/>
          <w:sz w:val="21"/>
        </w:rPr>
        <w:t>Add central observability, backups, disaster recovery and multi-instance session persistence.</w:t>
      </w:r>
    </w:p>
    <w:p>
      <w:pPr>
        <w:keepLines/>
        <w:spacing w:before="80" w:after="160" w:line="259" w:lineRule="auto"/>
        <w:ind w:left="115" w:right="115"/>
        <w:shd w:fill="EAF1FF"/>
        <w:pBdr>
          <w:top w:val="single" w:sz="2" w:space="5" w:color="EAF1FF"/>
          <w:left w:val="single" w:sz="2" w:space="5" w:color="EAF1FF"/>
          <w:bottom w:val="single" w:sz="2" w:space="5" w:color="EAF1FF"/>
          <w:right w:val="single" w:sz="2" w:space="5" w:color="EAF1FF"/>
        </w:pBdr>
      </w:pPr>
      <w:r>
        <w:rPr>
          <w:rFonts w:ascii="Calibri" w:hAnsi="Calibri"/>
          <w:b/>
          <w:color w:val="2F6BFF"/>
          <w:sz w:val="18"/>
        </w:rPr>
        <w:t>RECOMMENDED HACKATHON POSITIONING</w:t>
        <w:br/>
      </w:r>
      <w:r>
        <w:rPr>
          <w:rFonts w:ascii="Calibri" w:hAnsi="Calibri"/>
          <w:color w:val="182238"/>
          <w:sz w:val="21"/>
        </w:rPr>
        <w:t>Present Sentinel as a validated, production-oriented decision-support prototype with strong governance foundations - not as a deploy-tomorrow replacement for a regulated bank's existing AML program.</w:t>
      </w:r>
    </w:p>
    <w:p>
      <w:pPr>
        <w:keepNext/>
        <w:pageBreakBefore/>
        <w:spacing w:before="0" w:after="100"/>
      </w:pPr>
      <w:r>
        <w:rPr>
          <w:rFonts w:ascii="Calibri" w:hAnsi="Calibri"/>
          <w:b/>
          <w:color w:val="0B1930"/>
          <w:sz w:val="50"/>
        </w:rPr>
        <w:t>15. Winning Demo Playbook</w:t>
      </w:r>
    </w:p>
    <w:tbl>
      <w:tblPr>
        <w:tblStyle w:val="TableGrid"/>
        <w:tblW w:type="dxa" w:w="9360"/>
        <w:jc w:val="center"/>
        <w:tblLayout w:type="fixed"/>
        <w:tblLook w:firstColumn="1" w:firstRow="1" w:lastColumn="0" w:lastRow="0" w:noHBand="0" w:noVBand="1" w:val="04A0"/>
        <w:tblInd w:w="120" w:type="dxa"/>
      </w:tblPr>
      <w:tblGrid>
        <w:gridCol w:w="2600"/>
        <w:gridCol w:w="3900"/>
        <w:gridCol w:w="2860"/>
      </w:tblGrid>
      <w:tr>
        <w:trPr>
          <w:tblHeader w:val="1"/>
        </w:trPr>
        <w:tc>
          <w:tcPr>
            <w:tcW w:type="dxa" w:w="2600"/>
            <w:tcMar>
              <w:top w:w="80" w:type="dxa"/>
              <w:start w:w="120" w:type="dxa"/>
              <w:bottom w:w="80" w:type="dxa"/>
              <w:end w:w="120" w:type="dxa"/>
            </w:tcMar>
            <w:vAlign w:val="center"/>
            <w:shd w:fill="0B1930"/>
          </w:tcPr>
          <w:p>
            <w:pPr>
              <w:spacing w:after="0" w:line="240" w:lineRule="auto"/>
            </w:pPr>
            <w:r>
              <w:rPr>
                <w:rFonts w:ascii="Calibri" w:hAnsi="Calibri"/>
                <w:b/>
                <w:color w:val="FFFFFF"/>
                <w:sz w:val="18"/>
              </w:rPr>
              <w:t>Demo query</w:t>
            </w:r>
          </w:p>
        </w:tc>
        <w:tc>
          <w:tcPr>
            <w:tcW w:type="dxa" w:w="3900"/>
            <w:tcMar>
              <w:top w:w="80" w:type="dxa"/>
              <w:start w:w="120" w:type="dxa"/>
              <w:bottom w:w="80" w:type="dxa"/>
              <w:end w:w="120" w:type="dxa"/>
            </w:tcMar>
            <w:vAlign w:val="center"/>
            <w:shd w:fill="0B1930"/>
          </w:tcPr>
          <w:p>
            <w:pPr>
              <w:spacing w:after="0" w:line="240" w:lineRule="auto"/>
            </w:pPr>
            <w:r>
              <w:rPr>
                <w:rFonts w:ascii="Calibri" w:hAnsi="Calibri"/>
                <w:b/>
                <w:color w:val="FFFFFF"/>
                <w:sz w:val="18"/>
              </w:rPr>
              <w:t>Expected active path</w:t>
            </w:r>
          </w:p>
        </w:tc>
        <w:tc>
          <w:tcPr>
            <w:tcW w:type="dxa" w:w="2860"/>
            <w:tcMar>
              <w:top w:w="80" w:type="dxa"/>
              <w:start w:w="120" w:type="dxa"/>
              <w:bottom w:w="80" w:type="dxa"/>
              <w:end w:w="120" w:type="dxa"/>
            </w:tcMar>
            <w:vAlign w:val="center"/>
            <w:shd w:fill="0B1930"/>
          </w:tcPr>
          <w:p>
            <w:pPr>
              <w:spacing w:after="0" w:line="240" w:lineRule="auto"/>
            </w:pPr>
            <w:r>
              <w:rPr>
                <w:rFonts w:ascii="Calibri" w:hAnsi="Calibri"/>
                <w:b/>
                <w:color w:val="FFFFFF"/>
                <w:sz w:val="18"/>
              </w:rPr>
              <w:t>What it proves</w:t>
            </w:r>
          </w:p>
        </w:tc>
      </w:tr>
      <w:tr>
        <w:tc>
          <w:tcPr>
            <w:tcW w:type="dxa" w:w="2600"/>
            <w:tcMar>
              <w:top w:w="80" w:type="dxa"/>
              <w:start w:w="120" w:type="dxa"/>
              <w:bottom w:w="80" w:type="dxa"/>
              <w:end w:w="120" w:type="dxa"/>
            </w:tcMar>
            <w:vAlign w:val="center"/>
          </w:tcPr>
          <w:p>
            <w:pPr>
              <w:spacing w:after="0" w:line="240" w:lineRule="auto"/>
            </w:pPr>
            <w:r>
              <w:rPr>
                <w:rFonts w:ascii="Calibri" w:hAnsi="Calibri"/>
                <w:b w:val="0"/>
                <w:color w:val="182238"/>
                <w:sz w:val="18"/>
              </w:rPr>
              <w:t>Analyse this dataset for suspicious activity</w:t>
            </w:r>
          </w:p>
        </w:tc>
        <w:tc>
          <w:tcPr>
            <w:tcW w:type="dxa" w:w="3900"/>
            <w:tcMar>
              <w:top w:w="80" w:type="dxa"/>
              <w:start w:w="120" w:type="dxa"/>
              <w:bottom w:w="80" w:type="dxa"/>
              <w:end w:w="120" w:type="dxa"/>
            </w:tcMar>
            <w:vAlign w:val="center"/>
          </w:tcPr>
          <w:p>
            <w:pPr>
              <w:spacing w:after="0" w:line="240" w:lineRule="auto"/>
            </w:pPr>
            <w:r>
              <w:rPr>
                <w:rFonts w:ascii="Calibri" w:hAnsi="Calibri"/>
                <w:b w:val="0"/>
                <w:color w:val="182238"/>
                <w:sz w:val="18"/>
              </w:rPr>
              <w:t>Loader -&gt; EDA -&gt; features -&gt; statistics -&gt; ML -&gt; risk -&gt; escalation -&gt; explanation</w:t>
            </w:r>
          </w:p>
        </w:tc>
        <w:tc>
          <w:tcPr>
            <w:tcW w:type="dxa" w:w="2860"/>
            <w:tcMar>
              <w:top w:w="80" w:type="dxa"/>
              <w:start w:w="120" w:type="dxa"/>
              <w:bottom w:w="80" w:type="dxa"/>
              <w:end w:w="120" w:type="dxa"/>
            </w:tcMar>
            <w:vAlign w:val="center"/>
          </w:tcPr>
          <w:p>
            <w:pPr>
              <w:spacing w:after="0" w:line="240" w:lineRule="auto"/>
            </w:pPr>
            <w:r>
              <w:rPr>
                <w:rFonts w:ascii="Calibri" w:hAnsi="Calibri"/>
                <w:b w:val="0"/>
                <w:color w:val="182238"/>
                <w:sz w:val="18"/>
              </w:rPr>
              <w:t>Broad autonomous exploration, charts and ranked results</w:t>
            </w:r>
          </w:p>
        </w:tc>
      </w:tr>
      <w:tr>
        <w:tc>
          <w:tcPr>
            <w:tcW w:type="dxa" w:w="26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Which customers made 10+ transactions under $10,000?</w:t>
            </w:r>
          </w:p>
        </w:tc>
        <w:tc>
          <w:tcPr>
            <w:tcW w:type="dxa" w:w="39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Loader -&gt; aggregation -&gt; risk -&gt; escalation -&gt; explanation</w:t>
            </w:r>
          </w:p>
        </w:tc>
        <w:tc>
          <w:tcPr>
            <w:tcW w:type="dxa" w:w="28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Direct answer without unnecessary EDA or ML</w:t>
            </w:r>
          </w:p>
        </w:tc>
      </w:tr>
      <w:tr>
        <w:tc>
          <w:tcPr>
            <w:tcW w:type="dxa" w:w="2600"/>
            <w:tcMar>
              <w:top w:w="80" w:type="dxa"/>
              <w:start w:w="120" w:type="dxa"/>
              <w:bottom w:w="80" w:type="dxa"/>
              <w:end w:w="120" w:type="dxa"/>
            </w:tcMar>
            <w:vAlign w:val="center"/>
          </w:tcPr>
          <w:p>
            <w:pPr>
              <w:spacing w:after="0" w:line="240" w:lineRule="auto"/>
            </w:pPr>
            <w:r>
              <w:rPr>
                <w:rFonts w:ascii="Calibri" w:hAnsi="Calibri"/>
                <w:b w:val="0"/>
                <w:color w:val="182238"/>
                <w:sz w:val="18"/>
              </w:rPr>
              <w:t>Find structuring activity for account 803D95360</w:t>
            </w:r>
          </w:p>
        </w:tc>
        <w:tc>
          <w:tcPr>
            <w:tcW w:type="dxa" w:w="3900"/>
            <w:tcMar>
              <w:top w:w="80" w:type="dxa"/>
              <w:start w:w="120" w:type="dxa"/>
              <w:bottom w:w="80" w:type="dxa"/>
              <w:end w:w="120" w:type="dxa"/>
            </w:tcMar>
            <w:vAlign w:val="center"/>
          </w:tcPr>
          <w:p>
            <w:pPr>
              <w:spacing w:after="0" w:line="240" w:lineRule="auto"/>
            </w:pPr>
            <w:r>
              <w:rPr>
                <w:rFonts w:ascii="Calibri" w:hAnsi="Calibri"/>
                <w:b w:val="0"/>
                <w:color w:val="182238"/>
                <w:sz w:val="18"/>
              </w:rPr>
              <w:t>Entity load -&gt; features -&gt; rules -&gt; statistics -&gt; risk -&gt; escalation -&gt; explanation</w:t>
            </w:r>
          </w:p>
        </w:tc>
        <w:tc>
          <w:tcPr>
            <w:tcW w:type="dxa" w:w="2860"/>
            <w:tcMar>
              <w:top w:w="80" w:type="dxa"/>
              <w:start w:w="120" w:type="dxa"/>
              <w:bottom w:w="80" w:type="dxa"/>
              <w:end w:w="120" w:type="dxa"/>
            </w:tcMar>
            <w:vAlign w:val="center"/>
          </w:tcPr>
          <w:p>
            <w:pPr>
              <w:spacing w:after="0" w:line="240" w:lineRule="auto"/>
            </w:pPr>
            <w:r>
              <w:rPr>
                <w:rFonts w:ascii="Calibri" w:hAnsi="Calibri"/>
                <w:b w:val="0"/>
                <w:color w:val="182238"/>
                <w:sz w:val="18"/>
              </w:rPr>
              <w:t>Targeted entity analysis and explicit skip reasons</w:t>
            </w:r>
          </w:p>
        </w:tc>
      </w:tr>
      <w:tr>
        <w:tc>
          <w:tcPr>
            <w:tcW w:type="dxa" w:w="26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Detect layering and circular transfer patterns</w:t>
            </w:r>
          </w:p>
        </w:tc>
        <w:tc>
          <w:tcPr>
            <w:tcW w:type="dxa" w:w="39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Loader -&gt; features -&gt; statistics -&gt; ML -&gt; graph -&gt; risk -&gt; escalation -&gt; explanation</w:t>
            </w:r>
          </w:p>
        </w:tc>
        <w:tc>
          <w:tcPr>
            <w:tcW w:type="dxa" w:w="28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Conditional network analysis</w:t>
            </w:r>
          </w:p>
        </w:tc>
      </w:tr>
    </w:tbl>
    <w:p>
      <w:pPr>
        <w:spacing w:after="20"/>
      </w:pPr>
    </w:p>
    <w:p>
      <w:pPr>
        <w:pStyle w:val="Heading1"/>
      </w:pPr>
      <w:r>
        <w:t>Recommended live proof sequence</w:t>
      </w:r>
    </w:p>
    <w:p>
      <w:pPr>
        <w:pStyle w:val="ListNumber"/>
        <w:numPr>
          <w:ilvl w:val="0"/>
          <w:numId w:val="11"/>
        </w:numPr>
        <w:spacing w:after="100"/>
        <w:ind w:left="720" w:hanging="360"/>
      </w:pPr>
      <w:r>
        <w:rPr>
          <w:rFonts w:ascii="Calibri" w:hAnsi="Calibri"/>
          <w:color w:val="182238"/>
          <w:sz w:val="21"/>
        </w:rPr>
        <w:t>Start on the Command Center with API connected and HI-Small Transactions active.</w:t>
      </w:r>
    </w:p>
    <w:p>
      <w:pPr>
        <w:pStyle w:val="ListNumber"/>
        <w:numPr>
          <w:ilvl w:val="0"/>
          <w:numId w:val="11"/>
        </w:numPr>
        <w:spacing w:after="100"/>
        <w:ind w:left="720" w:hanging="360"/>
      </w:pPr>
      <w:r>
        <w:rPr>
          <w:rFonts w:ascii="Calibri" w:hAnsi="Calibri"/>
          <w:color w:val="182238"/>
          <w:sz w:val="21"/>
        </w:rPr>
        <w:t>Run the broad suspicious-activity query and show intent, selected tools and skip reasons.</w:t>
      </w:r>
    </w:p>
    <w:p>
      <w:pPr>
        <w:pStyle w:val="ListNumber"/>
        <w:numPr>
          <w:ilvl w:val="0"/>
          <w:numId w:val="11"/>
        </w:numPr>
        <w:spacing w:after="100"/>
        <w:ind w:left="720" w:hanging="360"/>
      </w:pPr>
      <w:r>
        <w:rPr>
          <w:rFonts w:ascii="Calibri" w:hAnsi="Calibri"/>
          <w:color w:val="182238"/>
          <w:sz w:val="21"/>
        </w:rPr>
        <w:t>Show 1,000 analyzed rows, 298 flagged entities and 175 high-risk results from the retained demonstration run.</w:t>
      </w:r>
    </w:p>
    <w:p>
      <w:pPr>
        <w:pStyle w:val="ListNumber"/>
        <w:numPr>
          <w:ilvl w:val="0"/>
          <w:numId w:val="11"/>
        </w:numPr>
        <w:spacing w:after="100"/>
        <w:ind w:left="720" w:hanging="360"/>
      </w:pPr>
      <w:r>
        <w:rPr>
          <w:rFonts w:ascii="Calibri" w:hAnsi="Calibri"/>
          <w:color w:val="182238"/>
          <w:sz w:val="21"/>
        </w:rPr>
        <w:t>Open entity 8005FD390 to show score, evidence, explanation and Report recommendation.</w:t>
      </w:r>
    </w:p>
    <w:p>
      <w:pPr>
        <w:pStyle w:val="ListNumber"/>
        <w:numPr>
          <w:ilvl w:val="0"/>
          <w:numId w:val="11"/>
        </w:numPr>
        <w:spacing w:after="100"/>
        <w:ind w:left="720" w:hanging="360"/>
      </w:pPr>
      <w:r>
        <w:rPr>
          <w:rFonts w:ascii="Calibri" w:hAnsi="Calibri"/>
          <w:color w:val="182238"/>
          <w:sz w:val="21"/>
        </w:rPr>
        <w:t>Show the EDA charts, then open the saved threshold-aggregation investigation.</w:t>
      </w:r>
    </w:p>
    <w:p>
      <w:pPr>
        <w:pStyle w:val="ListNumber"/>
        <w:numPr>
          <w:ilvl w:val="0"/>
          <w:numId w:val="11"/>
        </w:numPr>
        <w:spacing w:after="100"/>
        <w:ind w:left="720" w:hanging="360"/>
      </w:pPr>
      <w:r>
        <w:rPr>
          <w:rFonts w:ascii="Calibri" w:hAnsi="Calibri"/>
          <w:color w:val="182238"/>
          <w:sz w:val="21"/>
        </w:rPr>
        <w:t>End on the review queue or audit trail to prove the human workflow and provenance.</w:t>
      </w:r>
    </w:p>
    <w:p>
      <w:pPr>
        <w:keepLines/>
        <w:spacing w:before="80" w:after="160" w:line="259" w:lineRule="auto"/>
        <w:ind w:left="115" w:right="115"/>
        <w:shd w:fill="E9FBFF"/>
        <w:pBdr>
          <w:top w:val="single" w:sz="2" w:space="5" w:color="E9FBFF"/>
          <w:left w:val="single" w:sz="2" w:space="5" w:color="E9FBFF"/>
          <w:bottom w:val="single" w:sz="2" w:space="5" w:color="E9FBFF"/>
          <w:right w:val="single" w:sz="2" w:space="5" w:color="E9FBFF"/>
        </w:pBdr>
      </w:pPr>
      <w:r>
        <w:rPr>
          <w:rFonts w:ascii="Calibri" w:hAnsi="Calibri"/>
          <w:b/>
          <w:color w:val="2F6BFF"/>
          <w:sz w:val="18"/>
        </w:rPr>
        <w:t>NARRATIVE JUDGES SHOULD REMEMBER</w:t>
        <w:br/>
      </w:r>
      <w:r>
        <w:rPr>
          <w:rFonts w:ascii="Calibri" w:hAnsi="Calibri"/>
          <w:color w:val="182238"/>
          <w:sz w:val="21"/>
        </w:rPr>
        <w:t>Sentinel is not just an anomaly model. It is an adaptive investigation system that decides what to run, explains what ran, preserves what was skipped, and keeps the human reviewer in control.</w:t>
      </w:r>
    </w:p>
    <w:p>
      <w:pPr>
        <w:keepNext/>
        <w:pageBreakBefore/>
        <w:spacing w:before="0" w:after="100"/>
      </w:pPr>
      <w:r>
        <w:rPr>
          <w:rFonts w:ascii="Calibri" w:hAnsi="Calibri"/>
          <w:b/>
          <w:color w:val="0B1930"/>
          <w:sz w:val="50"/>
        </w:rPr>
        <w:t>16. Judging Criteria Evidence Map</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1"/>
        </w:trPr>
        <w:tc>
          <w:tcPr>
            <w:tcW w:type="dxa" w:w="2700"/>
            <w:tcMar>
              <w:top w:w="80" w:type="dxa"/>
              <w:start w:w="120" w:type="dxa"/>
              <w:bottom w:w="80" w:type="dxa"/>
              <w:end w:w="120" w:type="dxa"/>
            </w:tcMar>
            <w:vAlign w:val="center"/>
            <w:shd w:fill="0B1930"/>
          </w:tcPr>
          <w:p>
            <w:pPr>
              <w:spacing w:after="0" w:line="240" w:lineRule="auto"/>
            </w:pPr>
            <w:r>
              <w:rPr>
                <w:rFonts w:ascii="Calibri" w:hAnsi="Calibri"/>
                <w:b/>
                <w:color w:val="FFFFFF"/>
                <w:sz w:val="18"/>
              </w:rPr>
              <w:t>Judging dimension</w:t>
            </w:r>
          </w:p>
        </w:tc>
        <w:tc>
          <w:tcPr>
            <w:tcW w:type="dxa" w:w="6660"/>
            <w:tcMar>
              <w:top w:w="80" w:type="dxa"/>
              <w:start w:w="120" w:type="dxa"/>
              <w:bottom w:w="80" w:type="dxa"/>
              <w:end w:w="120" w:type="dxa"/>
            </w:tcMar>
            <w:vAlign w:val="center"/>
            <w:shd w:fill="0B1930"/>
          </w:tcPr>
          <w:p>
            <w:pPr>
              <w:spacing w:after="0" w:line="240" w:lineRule="auto"/>
            </w:pPr>
            <w:r>
              <w:rPr>
                <w:rFonts w:ascii="Calibri" w:hAnsi="Calibri"/>
                <w:b/>
                <w:color w:val="FFFFFF"/>
                <w:sz w:val="18"/>
              </w:rPr>
              <w:t>Demonstrable evidence</w:t>
            </w:r>
          </w:p>
        </w:tc>
      </w:tr>
      <w:tr>
        <w:tc>
          <w:tcPr>
            <w:tcW w:type="dxa" w:w="2700"/>
            <w:tcMar>
              <w:top w:w="80" w:type="dxa"/>
              <w:start w:w="120" w:type="dxa"/>
              <w:bottom w:w="80" w:type="dxa"/>
              <w:end w:w="120" w:type="dxa"/>
            </w:tcMar>
            <w:vAlign w:val="center"/>
          </w:tcPr>
          <w:p>
            <w:pPr>
              <w:spacing w:after="0" w:line="240" w:lineRule="auto"/>
            </w:pPr>
            <w:r>
              <w:rPr>
                <w:rFonts w:ascii="Calibri" w:hAnsi="Calibri"/>
                <w:b w:val="0"/>
                <w:color w:val="182238"/>
                <w:sz w:val="18"/>
              </w:rPr>
              <w:t>Agentic architecture</w:t>
            </w:r>
          </w:p>
        </w:tc>
        <w:tc>
          <w:tcPr>
            <w:tcW w:type="dxa" w:w="6660"/>
            <w:tcMar>
              <w:top w:w="80" w:type="dxa"/>
              <w:start w:w="120" w:type="dxa"/>
              <w:bottom w:w="80" w:type="dxa"/>
              <w:end w:w="120" w:type="dxa"/>
            </w:tcMar>
            <w:vAlign w:val="center"/>
          </w:tcPr>
          <w:p>
            <w:pPr>
              <w:spacing w:after="0" w:line="240" w:lineRule="auto"/>
            </w:pPr>
            <w:r>
              <w:rPr>
                <w:rFonts w:ascii="Calibri" w:hAnsi="Calibri"/>
                <w:b w:val="0"/>
                <w:color w:val="182238"/>
                <w:sz w:val="18"/>
              </w:rPr>
              <w:t>Distinct tool paths for broad EDA, aggregation, entity lookup and graph patterns</w:t>
            </w:r>
          </w:p>
        </w:tc>
      </w:tr>
      <w:tr>
        <w:tc>
          <w:tcPr>
            <w:tcW w:type="dxa" w:w="27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Functional coverage</w:t>
            </w:r>
          </w:p>
        </w:tc>
        <w:tc>
          <w:tcPr>
            <w:tcW w:type="dxa" w:w="66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Intent, filters, selective loading, features, detection, risk, explanation and action</w:t>
            </w:r>
          </w:p>
        </w:tc>
      </w:tr>
      <w:tr>
        <w:tc>
          <w:tcPr>
            <w:tcW w:type="dxa" w:w="2700"/>
            <w:tcMar>
              <w:top w:w="80" w:type="dxa"/>
              <w:start w:w="120" w:type="dxa"/>
              <w:bottom w:w="80" w:type="dxa"/>
              <w:end w:w="120" w:type="dxa"/>
            </w:tcMar>
            <w:vAlign w:val="center"/>
          </w:tcPr>
          <w:p>
            <w:pPr>
              <w:spacing w:after="0" w:line="240" w:lineRule="auto"/>
            </w:pPr>
            <w:r>
              <w:rPr>
                <w:rFonts w:ascii="Calibri" w:hAnsi="Calibri"/>
                <w:b w:val="0"/>
                <w:color w:val="182238"/>
                <w:sz w:val="18"/>
              </w:rPr>
              <w:t>Tool quality</w:t>
            </w:r>
          </w:p>
        </w:tc>
        <w:tc>
          <w:tcPr>
            <w:tcW w:type="dxa" w:w="6660"/>
            <w:tcMar>
              <w:top w:w="80" w:type="dxa"/>
              <w:start w:w="120" w:type="dxa"/>
              <w:bottom w:w="80" w:type="dxa"/>
              <w:end w:w="120" w:type="dxa"/>
            </w:tcMar>
            <w:vAlign w:val="center"/>
          </w:tcPr>
          <w:p>
            <w:pPr>
              <w:spacing w:after="0" w:line="240" w:lineRule="auto"/>
            </w:pPr>
            <w:r>
              <w:rPr>
                <w:rFonts w:ascii="Calibri" w:hAnsi="Calibri"/>
                <w:b w:val="0"/>
                <w:color w:val="182238"/>
                <w:sz w:val="18"/>
              </w:rPr>
              <w:t>Auditable rules, calibrated statistics, Isolation Forest, graph bounds and EDA charts</w:t>
            </w:r>
          </w:p>
        </w:tc>
      </w:tr>
      <w:tr>
        <w:tc>
          <w:tcPr>
            <w:tcW w:type="dxa" w:w="27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Output quality</w:t>
            </w:r>
          </w:p>
        </w:tc>
        <w:tc>
          <w:tcPr>
            <w:tcW w:type="dxa" w:w="66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Plan, trace, ranked entities, risk band, supporting transactions and exports</w:t>
            </w:r>
          </w:p>
        </w:tc>
      </w:tr>
      <w:tr>
        <w:tc>
          <w:tcPr>
            <w:tcW w:type="dxa" w:w="2700"/>
            <w:tcMar>
              <w:top w:w="80" w:type="dxa"/>
              <w:start w:w="120" w:type="dxa"/>
              <w:bottom w:w="80" w:type="dxa"/>
              <w:end w:w="120" w:type="dxa"/>
            </w:tcMar>
            <w:vAlign w:val="center"/>
          </w:tcPr>
          <w:p>
            <w:pPr>
              <w:spacing w:after="0" w:line="240" w:lineRule="auto"/>
            </w:pPr>
            <w:r>
              <w:rPr>
                <w:rFonts w:ascii="Calibri" w:hAnsi="Calibri"/>
                <w:b w:val="0"/>
                <w:color w:val="182238"/>
                <w:sz w:val="18"/>
              </w:rPr>
              <w:t>AML correctness</w:t>
            </w:r>
          </w:p>
        </w:tc>
        <w:tc>
          <w:tcPr>
            <w:tcW w:type="dxa" w:w="6660"/>
            <w:tcMar>
              <w:top w:w="80" w:type="dxa"/>
              <w:start w:w="120" w:type="dxa"/>
              <w:bottom w:w="80" w:type="dxa"/>
              <w:end w:w="120" w:type="dxa"/>
            </w:tcMar>
            <w:vAlign w:val="center"/>
          </w:tcPr>
          <w:p>
            <w:pPr>
              <w:spacing w:after="0" w:line="240" w:lineRule="auto"/>
            </w:pPr>
            <w:r>
              <w:rPr>
                <w:rFonts w:ascii="Calibri" w:hAnsi="Calibri"/>
                <w:b w:val="0"/>
                <w:color w:val="182238"/>
                <w:sz w:val="18"/>
              </w:rPr>
              <w:t>Known typologies, normal baselines, human-review language and documented limitations</w:t>
            </w:r>
          </w:p>
        </w:tc>
      </w:tr>
      <w:tr>
        <w:tc>
          <w:tcPr>
            <w:tcW w:type="dxa" w:w="270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Demo quality</w:t>
            </w:r>
          </w:p>
        </w:tc>
        <w:tc>
          <w:tcPr>
            <w:tcW w:type="dxa" w:w="6660"/>
            <w:tcMar>
              <w:top w:w="80" w:type="dxa"/>
              <w:start w:w="120" w:type="dxa"/>
              <w:bottom w:w="80" w:type="dxa"/>
              <w:end w:w="120" w:type="dxa"/>
            </w:tcMar>
            <w:vAlign w:val="center"/>
            <w:shd w:fill="F4F7FB"/>
          </w:tcPr>
          <w:p>
            <w:pPr>
              <w:spacing w:after="0" w:line="240" w:lineRule="auto"/>
            </w:pPr>
            <w:r>
              <w:rPr>
                <w:rFonts w:ascii="Calibri" w:hAnsi="Calibri"/>
                <w:b w:val="0"/>
                <w:color w:val="182238"/>
                <w:sz w:val="18"/>
              </w:rPr>
              <w:t>Clean routed workspace, fast query flow, model page, queue, datasets, audit and policy</w:t>
            </w:r>
          </w:p>
        </w:tc>
      </w:tr>
      <w:tr>
        <w:tc>
          <w:tcPr>
            <w:tcW w:type="dxa" w:w="2700"/>
            <w:tcMar>
              <w:top w:w="80" w:type="dxa"/>
              <w:start w:w="120" w:type="dxa"/>
              <w:bottom w:w="80" w:type="dxa"/>
              <w:end w:w="120" w:type="dxa"/>
            </w:tcMar>
            <w:vAlign w:val="center"/>
          </w:tcPr>
          <w:p>
            <w:pPr>
              <w:spacing w:after="0" w:line="240" w:lineRule="auto"/>
            </w:pPr>
            <w:r>
              <w:rPr>
                <w:rFonts w:ascii="Calibri" w:hAnsi="Calibri"/>
                <w:b w:val="0"/>
                <w:color w:val="182238"/>
                <w:sz w:val="18"/>
              </w:rPr>
              <w:t>Differentiation</w:t>
            </w:r>
          </w:p>
        </w:tc>
        <w:tc>
          <w:tcPr>
            <w:tcW w:type="dxa" w:w="6660"/>
            <w:tcMar>
              <w:top w:w="80" w:type="dxa"/>
              <w:start w:w="120" w:type="dxa"/>
              <w:bottom w:w="80" w:type="dxa"/>
              <w:end w:w="120" w:type="dxa"/>
            </w:tcMar>
            <w:vAlign w:val="center"/>
          </w:tcPr>
          <w:p>
            <w:pPr>
              <w:spacing w:after="0" w:line="240" w:lineRule="auto"/>
            </w:pPr>
            <w:r>
              <w:rPr>
                <w:rFonts w:ascii="Calibri" w:hAnsi="Calibri"/>
                <w:b w:val="0"/>
                <w:color w:val="182238"/>
                <w:sz w:val="18"/>
              </w:rPr>
              <w:t>Detector-normalized scoring, numeric explanation validation and immutable provenance</w:t>
            </w:r>
          </w:p>
        </w:tc>
      </w:tr>
    </w:tbl>
    <w:p>
      <w:pPr>
        <w:spacing w:after="20"/>
      </w:pPr>
    </w:p>
    <w:p>
      <w:pPr>
        <w:pStyle w:val="Heading1"/>
      </w:pPr>
      <w:r>
        <w:t>Expected impact</w:t>
      </w:r>
    </w:p>
    <w:p>
      <w:pPr>
        <w:pStyle w:val="ListBullet"/>
        <w:spacing w:after="100" w:line="264" w:lineRule="auto"/>
        <w:ind w:left="720" w:hanging="360"/>
      </w:pPr>
      <w:r>
        <w:rPr>
          <w:rFonts w:ascii="Calibri" w:hAnsi="Calibri"/>
          <w:color w:val="182238"/>
          <w:sz w:val="21"/>
        </w:rPr>
        <w:t>Reduce unnecessary computation by selecting tools according to the question.</w:t>
      </w:r>
    </w:p>
    <w:p>
      <w:pPr>
        <w:pStyle w:val="ListBullet"/>
        <w:spacing w:after="100" w:line="264" w:lineRule="auto"/>
        <w:ind w:left="720" w:hanging="360"/>
      </w:pPr>
      <w:r>
        <w:rPr>
          <w:rFonts w:ascii="Calibri" w:hAnsi="Calibri"/>
          <w:color w:val="182238"/>
          <w:sz w:val="21"/>
        </w:rPr>
        <w:t>Help analysts prioritize evidence rather than manually tune one rigid pipeline.</w:t>
      </w:r>
    </w:p>
    <w:p>
      <w:pPr>
        <w:pStyle w:val="ListBullet"/>
        <w:spacing w:after="100" w:line="264" w:lineRule="auto"/>
        <w:ind w:left="720" w:hanging="360"/>
      </w:pPr>
      <w:r>
        <w:rPr>
          <w:rFonts w:ascii="Calibri" w:hAnsi="Calibri"/>
          <w:color w:val="182238"/>
          <w:sz w:val="21"/>
        </w:rPr>
        <w:t>Improve reviewer confidence by reconciling each score with transactions and detector contributions.</w:t>
      </w:r>
    </w:p>
    <w:p>
      <w:pPr>
        <w:pStyle w:val="ListBullet"/>
        <w:spacing w:after="100" w:line="264" w:lineRule="auto"/>
        <w:ind w:left="720" w:hanging="360"/>
      </w:pPr>
      <w:r>
        <w:rPr>
          <w:rFonts w:ascii="Calibri" w:hAnsi="Calibri"/>
          <w:color w:val="182238"/>
          <w:sz w:val="21"/>
        </w:rPr>
        <w:t>Accelerate triage through ranked results, action recommendations and retained investigations.</w:t>
      </w:r>
    </w:p>
    <w:p>
      <w:pPr>
        <w:pStyle w:val="ListBullet"/>
        <w:spacing w:after="100" w:line="264" w:lineRule="auto"/>
        <w:ind w:left="720" w:hanging="360"/>
      </w:pPr>
      <w:r>
        <w:rPr>
          <w:rFonts w:ascii="Calibri" w:hAnsi="Calibri"/>
          <w:color w:val="182238"/>
          <w:sz w:val="21"/>
        </w:rPr>
        <w:t>Strengthen model and compliance governance through dataset, policy, model and workflow provenance.</w:t>
      </w:r>
    </w:p>
    <w:p>
      <w:pPr>
        <w:keepNext/>
        <w:pageBreakBefore/>
        <w:spacing w:before="0" w:after="100"/>
      </w:pPr>
      <w:r>
        <w:rPr>
          <w:rFonts w:ascii="Calibri" w:hAnsi="Calibri"/>
          <w:b/>
          <w:color w:val="0B1930"/>
          <w:sz w:val="50"/>
        </w:rPr>
        <w:t>Conclusion</w:t>
      </w:r>
    </w:p>
    <w:p>
      <w:pPr>
        <w:keepLines/>
        <w:spacing w:before="80" w:after="160" w:line="259" w:lineRule="auto"/>
        <w:ind w:left="115" w:right="115"/>
        <w:shd w:fill="E9FBFF"/>
        <w:pBdr>
          <w:top w:val="single" w:sz="2" w:space="5" w:color="E9FBFF"/>
          <w:left w:val="single" w:sz="2" w:space="5" w:color="E9FBFF"/>
          <w:bottom w:val="single" w:sz="2" w:space="5" w:color="E9FBFF"/>
          <w:right w:val="single" w:sz="2" w:space="5" w:color="E9FBFF"/>
        </w:pBdr>
      </w:pPr>
      <w:r>
        <w:rPr>
          <w:rFonts w:ascii="Calibri" w:hAnsi="Calibri"/>
          <w:b/>
          <w:color w:val="2F6BFF"/>
          <w:sz w:val="18"/>
        </w:rPr>
        <w:t>FINAL POSITION</w:t>
        <w:br/>
      </w:r>
      <w:r>
        <w:rPr>
          <w:rFonts w:ascii="Calibri" w:hAnsi="Calibri"/>
          <w:color w:val="182238"/>
          <w:sz w:val="21"/>
        </w:rPr>
        <w:t>Sentinel AML demonstrates that suspicious-activity detection can be adaptive without becoming opaque. The system combines query-aware orchestration, governed data, complementary analytical methods, evidence-grounded explanations and human escalation in one inspectable workflow.</w:t>
      </w:r>
    </w:p>
    <w:p>
      <w:pPr>
        <w:pStyle w:val="Heading1"/>
      </w:pPr>
      <w:r>
        <w:t>Core differentiators</w:t>
      </w:r>
    </w:p>
    <w:p>
      <w:pPr>
        <w:pStyle w:val="ListBullet"/>
        <w:spacing w:after="100" w:line="264" w:lineRule="auto"/>
        <w:ind w:left="720" w:hanging="360"/>
      </w:pPr>
      <w:r>
        <w:rPr>
          <w:rFonts w:ascii="Calibri" w:hAnsi="Calibri"/>
          <w:color w:val="182238"/>
          <w:sz w:val="21"/>
        </w:rPr>
        <w:t>A real dynamic planner instead of a fixed EDA-to-model sequence.</w:t>
      </w:r>
    </w:p>
    <w:p>
      <w:pPr>
        <w:pStyle w:val="ListBullet"/>
        <w:spacing w:after="100" w:line="264" w:lineRule="auto"/>
        <w:ind w:left="720" w:hanging="360"/>
      </w:pPr>
      <w:r>
        <w:rPr>
          <w:rFonts w:ascii="Calibri" w:hAnsi="Calibri"/>
          <w:color w:val="182238"/>
          <w:sz w:val="21"/>
        </w:rPr>
        <w:t>Risk fusion that accounts for which detectors actually executed.</w:t>
      </w:r>
    </w:p>
    <w:p>
      <w:pPr>
        <w:pStyle w:val="ListBullet"/>
        <w:spacing w:after="100" w:line="264" w:lineRule="auto"/>
        <w:ind w:left="720" w:hanging="360"/>
      </w:pPr>
      <w:r>
        <w:rPr>
          <w:rFonts w:ascii="Calibri" w:hAnsi="Calibri"/>
          <w:color w:val="182238"/>
          <w:sz w:val="21"/>
        </w:rPr>
        <w:t>Explanations checked against numeric evidence with deterministic fallback.</w:t>
      </w:r>
    </w:p>
    <w:p>
      <w:pPr>
        <w:pStyle w:val="ListBullet"/>
        <w:spacing w:after="100" w:line="264" w:lineRule="auto"/>
        <w:ind w:left="720" w:hanging="360"/>
      </w:pPr>
      <w:r>
        <w:rPr>
          <w:rFonts w:ascii="Calibri" w:hAnsi="Calibri"/>
          <w:color w:val="182238"/>
          <w:sz w:val="21"/>
        </w:rPr>
        <w:t>Operational and calibration datasets kept separate and attributable.</w:t>
      </w:r>
    </w:p>
    <w:p>
      <w:pPr>
        <w:pStyle w:val="ListBullet"/>
        <w:spacing w:after="100" w:line="264" w:lineRule="auto"/>
        <w:ind w:left="720" w:hanging="360"/>
      </w:pPr>
      <w:r>
        <w:rPr>
          <w:rFonts w:ascii="Calibri" w:hAnsi="Calibri"/>
          <w:color w:val="182238"/>
          <w:sz w:val="21"/>
        </w:rPr>
        <w:t>A full analyst experience covering investigation, evidence, review, data, model, audit and policy.</w:t>
      </w:r>
    </w:p>
    <w:p>
      <w:pPr>
        <w:pStyle w:val="ListBullet"/>
        <w:spacing w:after="100" w:line="264" w:lineRule="auto"/>
        <w:ind w:left="720" w:hanging="360"/>
      </w:pPr>
      <w:r>
        <w:rPr>
          <w:rFonts w:ascii="Calibri" w:hAnsi="Calibri"/>
          <w:color w:val="182238"/>
          <w:sz w:val="21"/>
        </w:rPr>
        <w:t>Transparent limitations and human decision authority.</w:t>
      </w:r>
    </w:p>
    <w:p>
      <w:pPr>
        <w:spacing w:before="560" w:after="160"/>
        <w:jc w:val="center"/>
      </w:pPr>
      <w:r>
        <w:rPr>
          <w:rFonts w:ascii="Calibri" w:hAnsi="Calibri"/>
          <w:b/>
          <w:color w:val="2F6BFF"/>
          <w:sz w:val="34"/>
        </w:rPr>
        <w:t>Same transactions. Clearer risk. Every decision traceable.</w:t>
      </w:r>
    </w:p>
    <w:p>
      <w:pPr>
        <w:jc w:val="center"/>
      </w:pPr>
      <w:r>
        <w:rPr>
          <w:rFonts w:ascii="Calibri" w:hAnsi="Calibri"/>
          <w:b/>
          <w:color w:val="64748B"/>
          <w:sz w:val="22"/>
        </w:rPr>
        <w:t>Devesh Raj | Mayank Gupta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 xml:space="preserve">Decision-support system | Human review required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4748B"/>
        <w:sz w:val="17"/>
      </w:rPr>
      <w:t>SENTINEL AML  |  HACKATHON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82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F6BF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6BF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