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4"/>
        </w:rPr>
        <w:t>IFMT</w:t>
        <w:br/>
      </w:r>
      <w:r>
        <w:rPr>
          <w:b/>
          <w:color w:val="17365D"/>
          <w:sz w:val="44"/>
        </w:rPr>
        <w:t>Dossiê Técnico-Científico de Encerramento - V2</w:t>
      </w:r>
    </w:p>
    <w:p>
      <w:pPr>
        <w:jc w:val="center"/>
      </w:pPr>
      <w:r>
        <w:rPr>
          <w:color w:val="505050"/>
          <w:sz w:val="24"/>
        </w:rPr>
        <w:t>Arquitetura, evidências, ciência, engenharia de software e estratégia de evolução do EDI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29"/>
          </w:tcPr>
          <w:p>
            <w:r>
              <w:t>Ecossistema Digital Integrado com Inteligência Artificial para Modernizar a Vigilância em Zoonoses: Gestão Territorial e Análise de Dados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29"/>
          </w:tcPr>
          <w:p>
            <w:r>
              <w:t>Carlos Gracioli Neto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29"/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29"/>
          </w:tcPr>
          <w:p>
            <w:r>
              <w:t>01/09/2025 a 31/08/2026</w:t>
            </w:r>
          </w:p>
        </w:tc>
      </w:tr>
    </w:tbl>
    <w:p>
      <w:r>
        <w:br w:type="page"/>
      </w:r>
    </w:p>
    <w:p>
      <w:pPr>
        <w:pStyle w:val="Heading1"/>
      </w:pPr>
      <w:r>
        <w:t>Sumário executivo</w:t>
      </w:r>
    </w:p>
    <w:p>
      <w:r>
        <w:t>A V2 consolida e amplia integralmente o pacote anterior. O EDI passa a ser documentado não apenas como protótipo, mas como uma arquitetura de referência para uma plataforma municipal de surveillance intelligence. O pacote cobre gestão, requisitos, dados, APIs, segurança, IA responsável, geoprocessamento, OCR, chatbot, testes, observabilidade, implantação, continuidade, produção científica e evidências.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r>
              <w:rPr>
                <w:b/>
              </w:rPr>
              <w:t xml:space="preserve">Nota de integridade científica: </w:t>
            </w:r>
            <w:r>
              <w:t>Nenhuma métrica de campo, aceite, foto, treinamento, implantação em produção ou resultado epidemiológico é fabricado. A V2 aumenta a robustez técnica e científica sem ultrapassar as evidências disponíveis.</w:t>
            </w:r>
          </w:p>
        </w:tc>
      </w:tr>
    </w:tbl>
    <w:p>
      <w:pPr>
        <w:pStyle w:val="Heading1"/>
      </w:pPr>
      <w:r>
        <w:t>1. Visão do produto e tese de integração</w:t>
      </w:r>
    </w:p>
    <w:p>
      <w:r>
        <w:t>A tese central do EDI é que o valor surge do encadeamento: atendimento/documento/ocorrência → dado estruturado → validação → localização → análise → indicador → decisão → ação de campo → feedback → conhecimento institucional. Cada módulo deve produzir ou consumir informação com proveniência e trilha de auditoria.</w:t>
      </w:r>
    </w:p>
    <w:p>
      <w:pPr>
        <w:pStyle w:val="Heading1"/>
      </w:pPr>
      <w:r>
        <w:t>2. Capacidades do ecossistema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b/>
              </w:rPr>
              <w:t>Capacidade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Escopo V2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Gestão de ocorrências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CRUD, protocolo, classificação, prioridade, SLA, histórico, anexos e geolocalização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Inteligência territorial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mapa, camadas, clusters/hotspots, filtros temporais, croqui e roteamento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KPIs operacionais/epidemiológicos, séries, qualidade de dados e drill-down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OCR/Document AI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upload, pré-processamento, extração, confiança, validação humana, versionamento e auditoria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Repositório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metadados, classificação, tags, busca, retenção, hash, permissões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Chatbot/Assistente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FAQ/RAG controlado, fontes, fallback, encaminhamento, analytics e governança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Qualidade de dados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regras, completude, validade, duplicidade, geocodificação e score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Relatórios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relatórios gerenciais, territoriais, operacionais e exportação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Administração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usuários, papéis, configurações, taxonomias, unidades, catálogos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Governança e auditoria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logs, consentimentos quando aplicável, bases/finalidades, retenção, incidentes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IA/Analytics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forecasting experimental, risk scoring, model registry/model cards e explicabilidade</w:t>
            </w:r>
          </w:p>
        </w:tc>
      </w:tr>
    </w:tbl>
    <w:p>
      <w:pPr>
        <w:pStyle w:val="Heading1"/>
      </w:pPr>
      <w:r>
        <w:t>3. Arquitetura de referência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Tecnologias sugeridas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Web/PWA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React + TypeScript + Vite/Next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interface responsiva, acessível e offline parcial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FastAPI/Python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casos de uso, validação, autenticação, contratos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Dados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PostgreSQL + PostGIS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transações, geodados, views e indicadores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Documentos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S3/MinIO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arquivos, hashes, versionamento e política de retenção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Fila/Jobs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Redis + worker/Celery/RQ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OCR, geração de relatórios, geocodificação e tarefas longas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Tesseract/PaddleOCR com provider interface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extração com score e revisão humana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IA conversacional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provider abstraction + RAG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base versionada, fontes, guardrails e fallback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Mapas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Leaflet + OSM/PostGIS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camadas, GeoJSON, clusters, heatmap, áreas e rotas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Observabilidade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logs estruturados + métricas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auditoria, saúde, latência, erros e SLO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Deploy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Docker Compose; evolução K8s se necessário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portabilidade e reprodutibilidade</w:t>
            </w:r>
          </w:p>
        </w:tc>
      </w:tr>
    </w:tbl>
    <w:p>
      <w:pPr>
        <w:pStyle w:val="Heading1"/>
      </w:pPr>
      <w:r>
        <w:t>4. Governança de IA</w:t>
      </w:r>
    </w:p>
    <w:p>
      <w:pPr>
        <w:pStyle w:val="ListBullet"/>
      </w:pPr>
      <w:r>
        <w:t>inventário de modelos/providers; model card por modelo; dataset card; logs de versão/prompt/base; human-in-the-loop para OCR e classificação crítica; limite explícito do chatbot; monitoramento de erro/drift; plano de rollback; avaliação de segurança antes de promover versão.</w:t>
      </w:r>
    </w:p>
    <w:p>
      <w:pPr>
        <w:pStyle w:val="Heading1"/>
      </w:pPr>
      <w:r>
        <w:t>5. Rastreabilidade científica</w:t>
      </w:r>
    </w:p>
    <w:p>
      <w:r>
        <w:t>O MSL V2 transforma as escolhas de engenharia em decisões rastreáveis. Interoperabilidade e coordenação são fundamentadas por WHO/FAO/WOAH e plataformas One Health; GeoAI por revisões e estudos de risco; chatbot por revisões de saúde pública; IA/alerta por revisões de surveillance; governança por lacunas recorrentes em qualidade, explicabilidade e privacidade.</w:t>
      </w:r>
    </w:p>
    <w:p>
      <w:pPr>
        <w:pStyle w:val="Heading1"/>
      </w:pPr>
      <w:r>
        <w:t>6. Critérios de produto final</w:t>
      </w:r>
    </w:p>
    <w:p>
      <w:pPr>
        <w:pStyle w:val="ListBullet"/>
      </w:pPr>
      <w:r>
        <w:t>login e RBAC funcionais</w:t>
      </w:r>
    </w:p>
    <w:p>
      <w:pPr>
        <w:pStyle w:val="ListBullet"/>
      </w:pPr>
      <w:r>
        <w:t>CRUD completo de ocorrências</w:t>
      </w:r>
    </w:p>
    <w:p>
      <w:pPr>
        <w:pStyle w:val="ListBullet"/>
      </w:pPr>
      <w:r>
        <w:t>PostGIS e mapa real</w:t>
      </w:r>
    </w:p>
    <w:p>
      <w:pPr>
        <w:pStyle w:val="ListBullet"/>
      </w:pPr>
      <w:r>
        <w:t>importação/exportação CSV/GeoJSON</w:t>
      </w:r>
    </w:p>
    <w:p>
      <w:pPr>
        <w:pStyle w:val="ListBullet"/>
      </w:pPr>
      <w:r>
        <w:t>dashboard derivado do banco</w:t>
      </w:r>
    </w:p>
    <w:p>
      <w:pPr>
        <w:pStyle w:val="ListBullet"/>
      </w:pPr>
      <w:r>
        <w:t>OCR real com revisão</w:t>
      </w:r>
    </w:p>
    <w:p>
      <w:pPr>
        <w:pStyle w:val="ListBullet"/>
      </w:pPr>
      <w:r>
        <w:t>chatbot RAG com fontes/fallback</w:t>
      </w:r>
    </w:p>
    <w:p>
      <w:pPr>
        <w:pStyle w:val="ListBullet"/>
      </w:pPr>
      <w:r>
        <w:t>repositório com upload real e hash</w:t>
      </w:r>
    </w:p>
    <w:p>
      <w:pPr>
        <w:pStyle w:val="ListBullet"/>
      </w:pPr>
      <w:r>
        <w:t>rota/croqui com pontos reais/sintéticos</w:t>
      </w:r>
    </w:p>
    <w:p>
      <w:pPr>
        <w:pStyle w:val="ListBullet"/>
      </w:pPr>
      <w:r>
        <w:t>auditoria persistente</w:t>
      </w:r>
    </w:p>
    <w:p>
      <w:pPr>
        <w:pStyle w:val="ListBullet"/>
      </w:pPr>
      <w:r>
        <w:t>testes unitários/integrados/e2e</w:t>
      </w:r>
    </w:p>
    <w:p>
      <w:pPr>
        <w:pStyle w:val="ListBullet"/>
      </w:pPr>
      <w:r>
        <w:t>seed sintética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README de instalação</w:t>
      </w:r>
    </w:p>
    <w:p>
      <w:pPr>
        <w:pStyle w:val="ListBullet"/>
      </w:pPr>
      <w:r>
        <w:t>OpenAPI</w:t>
      </w:r>
    </w:p>
    <w:p>
      <w:pPr>
        <w:pStyle w:val="ListBullet"/>
      </w:pPr>
      <w:r>
        <w:t>backup/restore</w:t>
      </w:r>
    </w:p>
    <w:p>
      <w:pPr>
        <w:pStyle w:val="ListBullet"/>
      </w:pPr>
      <w:r>
        <w:t>relatórios exportáveis</w:t>
      </w:r>
    </w:p>
    <w:p>
      <w:pPr>
        <w:pStyle w:val="ListBullet"/>
      </w:pPr>
      <w:r>
        <w:t>acessibilidade básica</w:t>
      </w:r>
    </w:p>
    <w:p>
      <w:pPr>
        <w:pStyle w:val="ListBullet"/>
      </w:pPr>
      <w:r>
        <w:t>sem TODOs/placeholders críticos</w:t>
      </w:r>
    </w:p>
    <w:p>
      <w:pPr>
        <w:pStyle w:val="Heading1"/>
      </w:pPr>
      <w:r>
        <w:t>7. Produtos do pacote</w:t>
      </w:r>
    </w:p>
    <w:p>
      <w:pPr>
        <w:pStyle w:val="ListNumber"/>
      </w:pPr>
      <w:r>
        <w:t>MSL A1-style</w:t>
      </w:r>
    </w:p>
    <w:p>
      <w:pPr>
        <w:pStyle w:val="ListNumber"/>
      </w:pPr>
      <w:r>
        <w:t>Dossiê V2</w:t>
      </w:r>
    </w:p>
    <w:p>
      <w:pPr>
        <w:pStyle w:val="ListNumber"/>
      </w:pPr>
      <w:r>
        <w:t>SRS/Arquitetura V2</w:t>
      </w:r>
    </w:p>
    <w:p>
      <w:pPr>
        <w:pStyle w:val="ListNumber"/>
      </w:pPr>
      <w:r>
        <w:t>Plano de testes V2</w:t>
      </w:r>
    </w:p>
    <w:p>
      <w:pPr>
        <w:pStyle w:val="ListNumber"/>
      </w:pPr>
      <w:r>
        <w:t>Plano de implantação/DevSecOps</w:t>
      </w:r>
    </w:p>
    <w:p>
      <w:pPr>
        <w:pStyle w:val="ListNumber"/>
      </w:pPr>
      <w:r>
        <w:t>Relatório final V2</w:t>
      </w:r>
    </w:p>
    <w:p>
      <w:pPr>
        <w:pStyle w:val="ListNumber"/>
      </w:pPr>
      <w:r>
        <w:t>Artigo científico V2</w:t>
      </w:r>
    </w:p>
    <w:p>
      <w:pPr>
        <w:pStyle w:val="ListNumber"/>
      </w:pPr>
      <w:r>
        <w:t>MVP V2 de demonstração</w:t>
      </w:r>
    </w:p>
    <w:p>
      <w:pPr>
        <w:pStyle w:val="ListNumber"/>
      </w:pPr>
      <w:r>
        <w:t>Contexto mestre Codex de implementação final</w:t>
      </w:r>
    </w:p>
    <w:p>
      <w:pPr>
        <w:pStyle w:val="ListNumber"/>
      </w:pPr>
      <w:r>
        <w:t>Modelo SQL e OpenAPI</w:t>
      </w:r>
    </w:p>
    <w:p>
      <w:pPr>
        <w:pStyle w:val="ListNumber"/>
      </w:pPr>
      <w:r>
        <w:t>Matriz de rastreabilidade e evidências</w:t>
      </w:r>
    </w:p>
    <w:p>
      <w:pPr>
        <w:pStyle w:val="ListNumber"/>
      </w:pPr>
      <w:r>
        <w:t>Instrumentos ampliados</w:t>
      </w:r>
    </w:p>
    <w:p>
      <w:pPr>
        <w:pStyle w:val="ListNumber"/>
      </w:pPr>
      <w:r>
        <w:t>Kit de divulgação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IFMT - Campus Várzea Grande | Ecossistema Zoonoses | Encerramento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