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4"/>
        </w:rPr>
        <w:t>IFMT</w:t>
        <w:br/>
      </w:r>
      <w:r>
        <w:rPr>
          <w:b/>
          <w:color w:val="17365D"/>
          <w:sz w:val="44"/>
        </w:rPr>
        <w:t>Mapeamento Sistemático da Literatura - Versão A1</w:t>
      </w:r>
    </w:p>
    <w:p>
      <w:pPr>
        <w:jc w:val="center"/>
      </w:pPr>
      <w:r>
        <w:rPr>
          <w:color w:val="505050"/>
          <w:sz w:val="24"/>
        </w:rPr>
        <w:t>Inteligência Artificial, GeoAI, sistemas integrados e agentes conversacionais para vigilância de zoonoses sob a perspectiva One Health</w:t>
      </w:r>
    </w:p>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rPr>
                <w:b/>
              </w:rPr>
              <w:t>Projeto</w:t>
            </w:r>
          </w:p>
        </w:tc>
        <w:tc>
          <w:tcPr>
            <w:tcW w:type="dxa" w:w="4929"/>
          </w:tcPr>
          <w:p>
            <w:r>
              <w:t>Ecossistema Digital Integrado com Inteligência Artificial para Modernizar a Vigilância em Zoonoses: Gestão Territorial e Análise de Dados</w:t>
            </w:r>
          </w:p>
        </w:tc>
      </w:tr>
      <w:tr>
        <w:tc>
          <w:tcPr>
            <w:tcW w:type="dxa" w:w="4929"/>
            <w:shd w:fill="D9EAF7"/>
          </w:tcPr>
          <w:p>
            <w:r>
              <w:rPr>
                <w:b/>
              </w:rPr>
              <w:t>Coordenador</w:t>
            </w:r>
          </w:p>
        </w:tc>
        <w:tc>
          <w:tcPr>
            <w:tcW w:type="dxa" w:w="4929"/>
          </w:tcPr>
          <w:p>
            <w:r>
              <w:t>Carlos Gracioli Neto</w:t>
            </w:r>
          </w:p>
        </w:tc>
      </w:tr>
      <w:tr>
        <w:tc>
          <w:tcPr>
            <w:tcW w:type="dxa" w:w="4929"/>
            <w:shd w:fill="D9EAF7"/>
          </w:tcPr>
          <w:p>
            <w:r>
              <w:rPr>
                <w:b/>
              </w:rPr>
              <w:t>Instituição</w:t>
            </w:r>
          </w:p>
        </w:tc>
        <w:tc>
          <w:tcPr>
            <w:tcW w:type="dxa" w:w="4929"/>
          </w:tcPr>
          <w:p>
            <w:r>
              <w:t>Instituto Federal de Educação, Ciência e Tecnologia de Mato Grosso - IFMT - Campus Várzea Grande</w:t>
            </w:r>
          </w:p>
        </w:tc>
      </w:tr>
      <w:tr>
        <w:tc>
          <w:tcPr>
            <w:tcW w:type="dxa" w:w="4929"/>
            <w:shd w:fill="D9EAF7"/>
          </w:tcPr>
          <w:p>
            <w:r>
              <w:rPr>
                <w:b/>
              </w:rPr>
              <w:t>Período</w:t>
            </w:r>
          </w:p>
        </w:tc>
        <w:tc>
          <w:tcPr>
            <w:tcW w:type="dxa" w:w="4929"/>
          </w:tcPr>
          <w:p>
            <w:r>
              <w:t>01/09/2025 a 31/08/2026</w:t>
            </w:r>
          </w:p>
        </w:tc>
      </w:tr>
    </w:tbl>
    <w:p>
      <w:r>
        <w:br w:type="page"/>
      </w:r>
    </w:p>
    <w:p>
      <w:pPr>
        <w:pStyle w:val="Heading1"/>
      </w:pPr>
      <w:r>
        <w:t>Resumo</w:t>
      </w:r>
    </w:p>
    <w:p>
      <w:r>
        <w:t>Contexto: a transformação digital da vigilância de zoonoses exige integração de dados, inteligência territorial, automação documental, comunicação com a população e governança intersetorial. Objetivo: mapear e sintetizar evidências científicas e normativas sobre Inteligência Artificial, aprendizado de máquina, geoprocessamento/GeoAI, plataformas One Health, chatbots e digitalização de informação aplicáveis a ecossistemas municipais de vigilância de zoonoses. Método: foi conduzido um mapeamento sistemático orientado por Kitchenham/Petersen, PRISMA/PRISMA-ScR e pela estrutura metodológica adotada no artigo-modelo de Gracioli Neto, Viterbo e Kalinowski, com questões de pesquisa explícitas, critérios de inclusão/exclusão, estratégias de busca reprodutíveis, extração padronizada e síntese temática. A atualização de encerramento usa um corpus verificado de 24 fontes científicas/normativas de alta aderência, publicadas entre 2021 e 2026, além de referências metodológicas clássicas. Resultados: as evidências convergem para cinco eixos: interoperabilidade e coordenação One Health; IA para previsão/alerta; GeoAI para estratificação territorial; agentes conversacionais como apoio informacional; e governança/qualidade dos dados como condição de implantação. Conclusão: o principal valor do EDI não reside em algoritmos isolados, mas na transformação de dados heterogêneos em inteligência de vigilância auditável e acionável, com supervisão humana, segurança e integração institucional.</w:t>
      </w:r>
    </w:p>
    <w:p>
      <w:r>
        <w:t>Palavras-chave: zoonoses; One Health; vigilância em saúde; inteligência artificial; aprendizado de máquina; geoprocessamento; GeoAI; chatbot; sistemas de informação; saúde digital.</w:t>
      </w:r>
    </w:p>
    <w:tbl>
      <w:tblPr>
        <w:tblStyle w:val="TableGrid"/>
        <w:tblW w:type="auto" w:w="0"/>
        <w:tblLook w:firstColumn="1" w:firstRow="1" w:lastColumn="0" w:lastRow="0" w:noHBand="0" w:noVBand="1" w:val="04A0"/>
      </w:tblPr>
      <w:tblGrid>
        <w:gridCol w:w="9859"/>
      </w:tblGrid>
      <w:tr>
        <w:tc>
          <w:tcPr>
            <w:tcW w:type="dxa" w:w="9859"/>
            <w:shd w:fill="FFF2CC"/>
          </w:tcPr>
          <w:p>
            <w:r>
              <w:rPr>
                <w:b/>
              </w:rPr>
              <w:t xml:space="preserve">Nota de integridade científica: </w:t>
            </w:r>
            <w:r>
              <w:t>Esta versão utiliza somente fontes identificadas e verificadas. Não são inventadas contagens totais de resultados de Scopus/Web of Science/IEEE/ACM porque essas bases não foram executadas com exportação auditável nesta sessão. O protocolo abaixo está pronto para replicação formal e complementação de um diagrama PRISMA completo antes de eventual submissão editorial que exija rastreabilidade bibliométrica integral.</w:t>
            </w:r>
          </w:p>
        </w:tc>
      </w:tr>
    </w:tbl>
    <w:p>
      <w:pPr>
        <w:pStyle w:val="Heading1"/>
      </w:pPr>
      <w:r>
        <w:t>1. Introdução</w:t>
      </w:r>
    </w:p>
    <w:p>
      <w:r>
        <w:t>A vigilância de zoonoses é um problema sociotécnico: a detecção e a resposta dependem tanto da qualidade dos dados quanto da capacidade de coordenar atores, integrar setores e transformar registros em decisões. O avanço da abordagem One Health desloca a vigilância de um modelo setorial para um modelo integrado entre saúde humana, animal e ambiental. Ao mesmo tempo, IA, aprendizado de máquina, NLP, OCR, SIG, sensoriamento remoto e dashboards ampliam a capacidade de identificar padrões, priorizar territórios e apoiar operações.</w:t>
      </w:r>
    </w:p>
    <w:p>
      <w:r>
        <w:t>No contexto de uma Unidade de Vigilância em Zoonoses, essas tecnologias frequentemente surgem como soluções separadas. O desafio científico e de engenharia é determinar como conectá-las em um ecossistema governável, auditável e útil. Assim, este MSL não busca apenas listar algoritmos: busca responder quais capacidades digitais possuem evidência para contribuir com vigilância, quais restrições aparecem de forma recorrente e quais requisitos podem ser derivados para a arquitetura do EDI.</w:t>
      </w:r>
    </w:p>
    <w:p>
      <w:pPr>
        <w:pStyle w:val="Heading1"/>
      </w:pPr>
      <w:r>
        <w:t>2. Protocolo do MSL</w:t>
      </w:r>
    </w:p>
    <w:p>
      <w:pPr>
        <w:pStyle w:val="Heading2"/>
      </w:pPr>
      <w:r>
        <w:t>2.1 Questão foco</w:t>
      </w:r>
    </w:p>
    <w:p>
      <w:r>
        <w:t>Quais abordagens tecnológicas e arquiteturais baseadas em IA, Ciência de Dados, geoprocessamento, sistemas de informação e agentes conversacionais são utilizadas para fortalecer vigilância de zoonoses/One Health, e quais requisitos, benefícios, limitações e evidências de implantação podem orientar um Ecossistema Digital Integrado municipal?</w:t>
      </w:r>
    </w:p>
    <w:p>
      <w:pPr>
        <w:pStyle w:val="Heading2"/>
      </w:pPr>
      <w:r>
        <w:t>2.2 Questões de pesquisa</w:t>
      </w:r>
    </w:p>
    <w:p>
      <w:pPr>
        <w:pStyle w:val="ListNumber"/>
      </w:pPr>
      <w:r>
        <w:t>RQ1 - Quais tecnologias digitais são mais frequentemente empregadas em vigilância de zoonoses e One Health?</w:t>
      </w:r>
    </w:p>
    <w:p>
      <w:pPr>
        <w:pStyle w:val="ListNumber"/>
      </w:pPr>
      <w:r>
        <w:t>RQ2 - Para quais tarefas de vigilância a IA/ML é aplicada (detecção, previsão, classificação, estratificação de risco, alerta, decisão)?</w:t>
      </w:r>
    </w:p>
    <w:p>
      <w:pPr>
        <w:pStyle w:val="ListNumber"/>
      </w:pPr>
      <w:r>
        <w:t>RQ3 - Como GIS, sensoriamento remoto e GeoAI são usados para hotspots, risco espacial e planejamento territorial?</w:t>
      </w:r>
    </w:p>
    <w:p>
      <w:pPr>
        <w:pStyle w:val="ListNumber"/>
      </w:pPr>
      <w:r>
        <w:t>RQ4 - Como agentes conversacionais são avaliados em saúde pública e quais princípios são transferíveis ao atendimento informacional da UVZ?</w:t>
      </w:r>
    </w:p>
    <w:p>
      <w:pPr>
        <w:pStyle w:val="ListNumber"/>
      </w:pPr>
      <w:r>
        <w:t>RQ5 - Quais padrões arquiteturais e de interoperabilidade aparecem em plataformas digitais One Health?</w:t>
      </w:r>
    </w:p>
    <w:p>
      <w:pPr>
        <w:pStyle w:val="ListNumber"/>
      </w:pPr>
      <w:r>
        <w:t>RQ6 - Quais riscos e limitações são recorrentes em qualidade de dados, viés, transparência, privacidade, segurança e adoção?</w:t>
      </w:r>
    </w:p>
    <w:p>
      <w:pPr>
        <w:pStyle w:val="ListNumber"/>
      </w:pPr>
      <w:r>
        <w:t>RQ7 - Quais métricas e estratégias de avaliação são apropriadas para o EDI?</w:t>
      </w:r>
    </w:p>
    <w:p>
      <w:pPr>
        <w:pStyle w:val="ListNumber"/>
      </w:pPr>
      <w:r>
        <w:t>RQ8 - Quais lacunas científicas justificam novas pesquisas em ecossistemas digitais municipais brasileiros de vigilância?</w:t>
      </w:r>
    </w:p>
    <w:p>
      <w:pPr>
        <w:pStyle w:val="Heading2"/>
      </w:pPr>
      <w:r>
        <w:t>2.3 PICOC</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Pr>
          <w:p>
            <w:r>
              <w:rPr>
                <w:b/>
              </w:rPr>
              <w:t>Dimensão</w:t>
            </w:r>
          </w:p>
        </w:tc>
        <w:tc>
          <w:tcPr>
            <w:tcW w:type="dxa" w:w="4929"/>
            <w:shd w:fill="D9EAF7"/>
          </w:tcPr>
          <w:p>
            <w:r>
              <w:rPr>
                <w:b/>
              </w:rPr>
              <w:t>Definição operacional</w:t>
            </w:r>
          </w:p>
        </w:tc>
      </w:tr>
      <w:tr>
        <w:tc>
          <w:tcPr>
            <w:tcW w:type="dxa" w:w="4929"/>
            <w:vAlign w:val="center"/>
          </w:tcPr>
          <w:p>
            <w:r>
              <w:rPr>
                <w:sz w:val="17"/>
              </w:rPr>
              <w:t>Population</w:t>
            </w:r>
          </w:p>
        </w:tc>
        <w:tc>
          <w:tcPr>
            <w:tcW w:type="dxa" w:w="4929"/>
            <w:vAlign w:val="center"/>
          </w:tcPr>
          <w:p>
            <w:r>
              <w:rPr>
                <w:sz w:val="17"/>
              </w:rPr>
              <w:t>serviços/sistemas de vigilância em saúde, zoonoses e One Health; profissionais, gestores e população usuária</w:t>
            </w:r>
          </w:p>
        </w:tc>
      </w:tr>
      <w:tr>
        <w:tc>
          <w:tcPr>
            <w:tcW w:type="dxa" w:w="4929"/>
            <w:vAlign w:val="center"/>
          </w:tcPr>
          <w:p>
            <w:r>
              <w:rPr>
                <w:sz w:val="17"/>
              </w:rPr>
              <w:t>Intervention</w:t>
            </w:r>
          </w:p>
        </w:tc>
        <w:tc>
          <w:tcPr>
            <w:tcW w:type="dxa" w:w="4929"/>
            <w:vAlign w:val="center"/>
          </w:tcPr>
          <w:p>
            <w:r>
              <w:rPr>
                <w:sz w:val="17"/>
              </w:rPr>
              <w:t>IA/ML/DL/NLP, chatbots, OCR/document AI, GIS/GeoAI, dashboards, plataformas integradas e interoperabilidade</w:t>
            </w:r>
          </w:p>
        </w:tc>
      </w:tr>
      <w:tr>
        <w:tc>
          <w:tcPr>
            <w:tcW w:type="dxa" w:w="4929"/>
            <w:vAlign w:val="center"/>
          </w:tcPr>
          <w:p>
            <w:r>
              <w:rPr>
                <w:sz w:val="17"/>
              </w:rPr>
              <w:t>Comparison</w:t>
            </w:r>
          </w:p>
        </w:tc>
        <w:tc>
          <w:tcPr>
            <w:tcW w:type="dxa" w:w="4929"/>
            <w:vAlign w:val="center"/>
          </w:tcPr>
          <w:p>
            <w:r>
              <w:rPr>
                <w:sz w:val="17"/>
              </w:rPr>
              <w:t>processos manuais, sistemas setoriais, modelos estatísticos tradicionais ou outras arquiteturas, quando disponível</w:t>
            </w:r>
          </w:p>
        </w:tc>
      </w:tr>
      <w:tr>
        <w:tc>
          <w:tcPr>
            <w:tcW w:type="dxa" w:w="4929"/>
            <w:vAlign w:val="center"/>
          </w:tcPr>
          <w:p>
            <w:r>
              <w:rPr>
                <w:sz w:val="17"/>
              </w:rPr>
              <w:t>Outcomes</w:t>
            </w:r>
          </w:p>
        </w:tc>
        <w:tc>
          <w:tcPr>
            <w:tcW w:type="dxa" w:w="4929"/>
            <w:vAlign w:val="center"/>
          </w:tcPr>
          <w:p>
            <w:r>
              <w:rPr>
                <w:sz w:val="17"/>
              </w:rPr>
              <w:t>qualidade/timeliness de dados, previsão, detecção, usabilidade, eficiência, decisão, cobertura territorial, integração, segurança</w:t>
            </w:r>
          </w:p>
        </w:tc>
      </w:tr>
      <w:tr>
        <w:tc>
          <w:tcPr>
            <w:tcW w:type="dxa" w:w="4929"/>
            <w:vAlign w:val="center"/>
          </w:tcPr>
          <w:p>
            <w:r>
              <w:rPr>
                <w:sz w:val="17"/>
              </w:rPr>
              <w:t>Context</w:t>
            </w:r>
          </w:p>
        </w:tc>
        <w:tc>
          <w:tcPr>
            <w:tcW w:type="dxa" w:w="4929"/>
            <w:vAlign w:val="center"/>
          </w:tcPr>
          <w:p>
            <w:r>
              <w:rPr>
                <w:sz w:val="17"/>
              </w:rPr>
              <w:t>saúde pública, vigilância epidemiológica, zoonoses, One Health, gestão territorial municipal/regional</w:t>
            </w:r>
          </w:p>
        </w:tc>
      </w:tr>
    </w:tbl>
    <w:p>
      <w:pPr>
        <w:pStyle w:val="Heading2"/>
      </w:pPr>
      <w:r>
        <w:t>2.4 Estratégia de busca replicável</w:t>
      </w:r>
    </w:p>
    <w:p>
      <w:r>
        <w:t>A estratégia foi estruturada em blocos booleanos. Para uma submissão bibliométrica formal, recomenda-se executar exatamente as strings abaixo, exportar RIS/BibTeX/CSV por base, registrar data/hora, deduplicar em ferramenta bibliográfica e preservar o log de triagem.</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Pr>
          <w:p>
            <w:r>
              <w:rPr>
                <w:b/>
              </w:rPr>
              <w:t>Base</w:t>
            </w:r>
          </w:p>
        </w:tc>
        <w:tc>
          <w:tcPr>
            <w:tcW w:type="dxa" w:w="4929"/>
            <w:shd w:fill="D9EAF7"/>
          </w:tcPr>
          <w:p>
            <w:r>
              <w:rPr>
                <w:b/>
              </w:rPr>
              <w:t>String-base sugerida</w:t>
            </w:r>
          </w:p>
        </w:tc>
      </w:tr>
      <w:tr>
        <w:tc>
          <w:tcPr>
            <w:tcW w:type="dxa" w:w="4929"/>
            <w:vAlign w:val="center"/>
          </w:tcPr>
          <w:p>
            <w:r>
              <w:rPr>
                <w:sz w:val="17"/>
              </w:rPr>
              <w:t>Scopus / Web of Science</w:t>
            </w:r>
          </w:p>
        </w:tc>
        <w:tc>
          <w:tcPr>
            <w:tcW w:type="dxa" w:w="4929"/>
            <w:vAlign w:val="center"/>
          </w:tcPr>
          <w:p>
            <w:r>
              <w:rPr>
                <w:sz w:val="17"/>
              </w:rPr>
              <w:t>TITLE-ABS-KEY((zoonos* OR "One Health" OR "infectious disease surveillance") AND (surveillance OR monitoring OR "early warning" OR "risk mapping") AND ("artificial intelligence" OR "machine learning" OR "deep learning" OR geospatial OR GIS OR GeoAI OR chatbot* OR "conversational agent*" OR OCR OR "document AI" OR dashboard* OR interoperab*))</w:t>
            </w:r>
          </w:p>
        </w:tc>
      </w:tr>
      <w:tr>
        <w:tc>
          <w:tcPr>
            <w:tcW w:type="dxa" w:w="4929"/>
            <w:vAlign w:val="center"/>
          </w:tcPr>
          <w:p>
            <w:r>
              <w:rPr>
                <w:sz w:val="17"/>
              </w:rPr>
              <w:t>PubMed</w:t>
            </w:r>
          </w:p>
        </w:tc>
        <w:tc>
          <w:tcPr>
            <w:tcW w:type="dxa" w:w="4929"/>
            <w:vAlign w:val="center"/>
          </w:tcPr>
          <w:p>
            <w:r>
              <w:rPr>
                <w:sz w:val="17"/>
              </w:rPr>
              <w:t>((zoonoses[Title/Abstract] OR "One Health"[Title/Abstract] OR "infectious disease surveillance"[Title/Abstract]) AND (surveillance[Title/Abstract] OR monitoring[Title/Abstract] OR "early warning"[Title/Abstract] OR geospatial[Title/Abstract]) AND ("artificial intelligence"[Title/Abstract] OR "machine learning"[Title/Abstract] OR chatbot[Title/Abstract] OR GIS[Title/Abstract] OR interoperability[Title/Abstract]))</w:t>
            </w:r>
          </w:p>
        </w:tc>
      </w:tr>
      <w:tr>
        <w:tc>
          <w:tcPr>
            <w:tcW w:type="dxa" w:w="4929"/>
            <w:vAlign w:val="center"/>
          </w:tcPr>
          <w:p>
            <w:r>
              <w:rPr>
                <w:sz w:val="17"/>
              </w:rPr>
              <w:t>IEEE Xplore / ACM DL</w:t>
            </w:r>
          </w:p>
        </w:tc>
        <w:tc>
          <w:tcPr>
            <w:tcW w:type="dxa" w:w="4929"/>
            <w:vAlign w:val="center"/>
          </w:tcPr>
          <w:p>
            <w:r>
              <w:rPr>
                <w:sz w:val="17"/>
              </w:rPr>
              <w:t>((zoonoses OR "One Health" OR "public health surveillance") AND (AI OR "machine learning" OR GIS OR geospatial OR chatbot OR OCR OR dashboard) AND (system OR platform OR surveillance OR decision))</w:t>
            </w:r>
          </w:p>
        </w:tc>
      </w:tr>
      <w:tr>
        <w:tc>
          <w:tcPr>
            <w:tcW w:type="dxa" w:w="4929"/>
            <w:vAlign w:val="center"/>
          </w:tcPr>
          <w:p>
            <w:r>
              <w:rPr>
                <w:sz w:val="17"/>
              </w:rPr>
              <w:t>Literatura normativa</w:t>
            </w:r>
          </w:p>
        </w:tc>
        <w:tc>
          <w:tcPr>
            <w:tcW w:type="dxa" w:w="4929"/>
            <w:vAlign w:val="center"/>
          </w:tcPr>
          <w:p>
            <w:r>
              <w:rPr>
                <w:sz w:val="17"/>
              </w:rPr>
              <w:t>WHO/FAO/WOAH + One Health + surveillance + information sharing + monitoring and evaluation</w:t>
            </w:r>
          </w:p>
        </w:tc>
      </w:tr>
    </w:tbl>
    <w:p>
      <w:pPr>
        <w:pStyle w:val="Heading2"/>
      </w:pPr>
      <w:r>
        <w:t>2.5 Critérios de inclusão e exclusão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Pr>
          <w:p>
            <w:r>
              <w:rPr>
                <w:b/>
              </w:rPr>
              <w:t>Tipo</w:t>
            </w:r>
          </w:p>
        </w:tc>
        <w:tc>
          <w:tcPr>
            <w:tcW w:type="dxa" w:w="4929"/>
            <w:shd w:fill="D9EAF7"/>
          </w:tcPr>
          <w:p>
            <w:r>
              <w:rPr>
                <w:b/>
              </w:rPr>
              <w:t>Critérios</w:t>
            </w:r>
          </w:p>
        </w:tc>
      </w:tr>
      <w:tr>
        <w:tc>
          <w:tcPr>
            <w:tcW w:type="dxa" w:w="4929"/>
            <w:vAlign w:val="center"/>
          </w:tcPr>
          <w:p>
            <w:r>
              <w:rPr>
                <w:sz w:val="17"/>
              </w:rPr>
              <w:t>Inclusão</w:t>
            </w:r>
          </w:p>
        </w:tc>
        <w:tc>
          <w:tcPr>
            <w:tcW w:type="dxa" w:w="4929"/>
            <w:vAlign w:val="center"/>
          </w:tcPr>
          <w:p>
            <w:r>
              <w:rPr>
                <w:sz w:val="17"/>
              </w:rPr>
              <w:t>artigo revisado por pares ou orientação normativa de autoridade reconhecida; aderência direta a vigilância/One Health/saúde pública; descrição de tecnologia, arquitetura, implantação ou avaliação; 2020-2026 para evidência contemporânea, admitindo referências metodológicas clássicas; idioma português ou inglês.</w:t>
            </w:r>
          </w:p>
        </w:tc>
      </w:tr>
      <w:tr>
        <w:tc>
          <w:tcPr>
            <w:tcW w:type="dxa" w:w="4929"/>
            <w:vAlign w:val="center"/>
          </w:tcPr>
          <w:p>
            <w:r>
              <w:rPr>
                <w:sz w:val="17"/>
              </w:rPr>
              <w:t>Exclusão</w:t>
            </w:r>
          </w:p>
        </w:tc>
        <w:tc>
          <w:tcPr>
            <w:tcW w:type="dxa" w:w="4929"/>
            <w:vAlign w:val="center"/>
          </w:tcPr>
          <w:p>
            <w:r>
              <w:rPr>
                <w:sz w:val="17"/>
              </w:rPr>
              <w:t>opinião sem método/evidência; estudo puramente clínico sem implicação para vigilância; IA sem relação com informação/decisão; duplicata; fonte não verificável; material comercial sem método; uso de chatbot sem finalidade de saúde ou informação pública.</w:t>
            </w:r>
          </w:p>
        </w:tc>
      </w:tr>
    </w:tbl>
    <w:p>
      <w:pPr>
        <w:pStyle w:val="Heading2"/>
      </w:pPr>
      <w:r>
        <w:t>2.6 Processo de seleção e rastreabilidade</w:t>
      </w:r>
    </w:p>
    <w:p>
      <w:r>
        <w:t>A triagem conceitual seguiu três níveis: (1) aderência pelo título/descrição; (2) aderência temática pelo resumo; (3) extração de dados do texto/registro bibliográfico disponível. O corpus final de encerramento contém 24 fontes verificadas, selecionadas por relevância direta aos eixos do EDI. Diferentemente do artigo-modelo, que pôde reportar 39 registros iniciais, 14 após triagem e 10 incluídos por ter executado bases fechadas com contagem definida, esta atualização não atribui números globais de recuperação que não possam ser auditados.</w:t>
      </w:r>
    </w:p>
    <w:p>
      <w:pPr>
        <w:pStyle w:val="Heading2"/>
      </w:pPr>
      <w:r>
        <w:t>2.7 Formulário de extração</w:t>
      </w:r>
    </w:p>
    <w:p>
      <w:pPr>
        <w:pStyle w:val="ListBullet"/>
      </w:pPr>
      <w:r>
        <w:t>identificação bibliográfica e DOI/PMID/URL; ano e tipo de estudo; país/região; domínio de aplicação; fonte e granularidade dos dados; tecnologia/método; tarefa de vigilância; validação; resultados; limitações; integração One Health; privacidade/ética; maturidade de implantação; implicações arquiteturais para o EDI.</w:t>
      </w:r>
    </w:p>
    <w:p>
      <w:pPr>
        <w:pStyle w:val="Heading2"/>
      </w:pPr>
      <w:r>
        <w:t>2.8 Avaliação de qualidade</w:t>
      </w:r>
    </w:p>
    <w:p>
      <w:r>
        <w:t>A qualidade foi avaliada de forma compatível com o tipo de fonte. Revisões sistemáticas: clareza de pergunta, estratégia de busca, seleção, síntese e limitações. Estudos de implementação: contexto, arquitetura/processo, dados, avaliação e limitações. Estudos de IA: dados, validação, generalização, interpretação e transparência. Documentos normativos: autoria institucional, escopo, processo e aplicabilidade. A avaliação não é convertida em um escore universal, evitando falsa comparabilidade entre delineamentos distintos.</w:t>
      </w:r>
    </w:p>
    <w:p>
      <w:pPr>
        <w:pStyle w:val="Heading1"/>
      </w:pPr>
      <w:r>
        <w:t>3. Estudos e fontes incluídos</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tcPr>
          <w:p>
            <w:r>
              <w:rPr>
                <w:b/>
              </w:rPr>
              <w:t>Ano</w:t>
            </w:r>
          </w:p>
        </w:tc>
        <w:tc>
          <w:tcPr>
            <w:tcW w:type="dxa" w:w="1408"/>
            <w:shd w:fill="D9EAF7"/>
          </w:tcPr>
          <w:p>
            <w:r>
              <w:rPr>
                <w:b/>
              </w:rPr>
              <w:t>Autores/Fonte</w:t>
            </w:r>
          </w:p>
        </w:tc>
        <w:tc>
          <w:tcPr>
            <w:tcW w:type="dxa" w:w="1408"/>
            <w:shd w:fill="D9EAF7"/>
          </w:tcPr>
          <w:p>
            <w:r>
              <w:rPr>
                <w:b/>
              </w:rPr>
              <w:t>Título</w:t>
            </w:r>
          </w:p>
        </w:tc>
        <w:tc>
          <w:tcPr>
            <w:tcW w:type="dxa" w:w="1408"/>
            <w:shd w:fill="D9EAF7"/>
          </w:tcPr>
          <w:p>
            <w:r>
              <w:rPr>
                <w:b/>
              </w:rPr>
              <w:t>Tipo</w:t>
            </w:r>
          </w:p>
        </w:tc>
        <w:tc>
          <w:tcPr>
            <w:tcW w:type="dxa" w:w="1408"/>
            <w:shd w:fill="D9EAF7"/>
          </w:tcPr>
          <w:p>
            <w:r>
              <w:rPr>
                <w:b/>
              </w:rPr>
              <w:t>Eixo</w:t>
            </w:r>
          </w:p>
        </w:tc>
        <w:tc>
          <w:tcPr>
            <w:tcW w:type="dxa" w:w="1408"/>
            <w:shd w:fill="D9EAF7"/>
          </w:tcPr>
          <w:p>
            <w:r>
              <w:rPr>
                <w:b/>
              </w:rPr>
              <w:t>Achado principal</w:t>
            </w:r>
          </w:p>
        </w:tc>
        <w:tc>
          <w:tcPr>
            <w:tcW w:type="dxa" w:w="1408"/>
            <w:shd w:fill="D9EAF7"/>
          </w:tcPr>
          <w:p>
            <w:r>
              <w:rPr>
                <w:b/>
              </w:rPr>
              <w:t>URL</w:t>
            </w:r>
          </w:p>
        </w:tc>
      </w:tr>
      <w:tr>
        <w:tc>
          <w:tcPr>
            <w:tcW w:type="dxa" w:w="1408"/>
            <w:vAlign w:val="center"/>
          </w:tcPr>
          <w:p>
            <w:r>
              <w:rPr>
                <w:sz w:val="17"/>
              </w:rPr>
              <w:t>2022</w:t>
            </w:r>
          </w:p>
        </w:tc>
        <w:tc>
          <w:tcPr>
            <w:tcW w:type="dxa" w:w="1408"/>
            <w:vAlign w:val="center"/>
          </w:tcPr>
          <w:p>
            <w:r>
              <w:rPr>
                <w:sz w:val="17"/>
              </w:rPr>
              <w:t>WHO; FAO; WOAH</w:t>
            </w:r>
          </w:p>
        </w:tc>
        <w:tc>
          <w:tcPr>
            <w:tcW w:type="dxa" w:w="1408"/>
            <w:vAlign w:val="center"/>
          </w:tcPr>
          <w:p>
            <w:r>
              <w:rPr>
                <w:sz w:val="17"/>
              </w:rPr>
              <w:t>Surveillance and information sharing operational tool: an operational tool of the Tripartite Zoonoses Guide</w:t>
            </w:r>
          </w:p>
        </w:tc>
        <w:tc>
          <w:tcPr>
            <w:tcW w:type="dxa" w:w="1408"/>
            <w:vAlign w:val="center"/>
          </w:tcPr>
          <w:p>
            <w:r>
              <w:rPr>
                <w:sz w:val="17"/>
              </w:rPr>
              <w:t>Normative guidance</w:t>
            </w:r>
          </w:p>
        </w:tc>
        <w:tc>
          <w:tcPr>
            <w:tcW w:type="dxa" w:w="1408"/>
            <w:vAlign w:val="center"/>
          </w:tcPr>
          <w:p>
            <w:r>
              <w:rPr>
                <w:sz w:val="17"/>
              </w:rPr>
              <w:t>One Health surveillance and information sharing</w:t>
            </w:r>
          </w:p>
        </w:tc>
        <w:tc>
          <w:tcPr>
            <w:tcW w:type="dxa" w:w="1408"/>
            <w:vAlign w:val="center"/>
          </w:tcPr>
          <w:p>
            <w:r>
              <w:rPr>
                <w:sz w:val="17"/>
              </w:rPr>
              <w:t>Stepwise guidance to establish/strengthen coordinated multisectoral surveillance and routine information sharing; emphasizes early detection and timely data sharing.</w:t>
            </w:r>
          </w:p>
        </w:tc>
        <w:tc>
          <w:tcPr>
            <w:tcW w:type="dxa" w:w="1408"/>
            <w:vAlign w:val="center"/>
          </w:tcPr>
          <w:p>
            <w:r>
              <w:rPr>
                <w:sz w:val="17"/>
              </w:rPr>
              <w:t>https://www.who.int/publications/i/item/9789240053250</w:t>
            </w:r>
          </w:p>
        </w:tc>
      </w:tr>
      <w:tr>
        <w:tc>
          <w:tcPr>
            <w:tcW w:type="dxa" w:w="1408"/>
            <w:vAlign w:val="center"/>
          </w:tcPr>
          <w:p>
            <w:r>
              <w:rPr>
                <w:sz w:val="17"/>
              </w:rPr>
              <w:t>2024</w:t>
            </w:r>
          </w:p>
        </w:tc>
        <w:tc>
          <w:tcPr>
            <w:tcW w:type="dxa" w:w="1408"/>
            <w:vAlign w:val="center"/>
          </w:tcPr>
          <w:p>
            <w:r>
              <w:rPr>
                <w:sz w:val="17"/>
              </w:rPr>
              <w:t>WHO; FAO; WOAH</w:t>
            </w:r>
          </w:p>
        </w:tc>
        <w:tc>
          <w:tcPr>
            <w:tcW w:type="dxa" w:w="1408"/>
            <w:vAlign w:val="center"/>
          </w:tcPr>
          <w:p>
            <w:r>
              <w:rPr>
                <w:sz w:val="17"/>
              </w:rPr>
              <w:t>Monitoring and evaluation for effective management of zoonotic diseases: an operational tool of the Tripartite Zoonoses Guide</w:t>
            </w:r>
          </w:p>
        </w:tc>
        <w:tc>
          <w:tcPr>
            <w:tcW w:type="dxa" w:w="1408"/>
            <w:vAlign w:val="center"/>
          </w:tcPr>
          <w:p>
            <w:r>
              <w:rPr>
                <w:sz w:val="17"/>
              </w:rPr>
              <w:t>Normative guidance</w:t>
            </w:r>
          </w:p>
        </w:tc>
        <w:tc>
          <w:tcPr>
            <w:tcW w:type="dxa" w:w="1408"/>
            <w:vAlign w:val="center"/>
          </w:tcPr>
          <w:p>
            <w:r>
              <w:rPr>
                <w:sz w:val="17"/>
              </w:rPr>
              <w:t>Monitoring &amp; evaluation</w:t>
            </w:r>
          </w:p>
        </w:tc>
        <w:tc>
          <w:tcPr>
            <w:tcW w:type="dxa" w:w="1408"/>
            <w:vAlign w:val="center"/>
          </w:tcPr>
          <w:p>
            <w:r>
              <w:rPr>
                <w:sz w:val="17"/>
              </w:rPr>
              <w:t>Defines coordinated M&amp;E as systematic collection, analysis and use of information across sectors to improve zoonotic disease programs.</w:t>
            </w:r>
          </w:p>
        </w:tc>
        <w:tc>
          <w:tcPr>
            <w:tcW w:type="dxa" w:w="1408"/>
            <w:vAlign w:val="center"/>
          </w:tcPr>
          <w:p>
            <w:r>
              <w:rPr>
                <w:sz w:val="17"/>
              </w:rPr>
              <w:t>https://www.who.int/publications/i/item/9789240104006</w:t>
            </w:r>
          </w:p>
        </w:tc>
      </w:tr>
      <w:tr>
        <w:tc>
          <w:tcPr>
            <w:tcW w:type="dxa" w:w="1408"/>
            <w:vAlign w:val="center"/>
          </w:tcPr>
          <w:p>
            <w:r>
              <w:rPr>
                <w:sz w:val="17"/>
              </w:rPr>
              <w:t>2021</w:t>
            </w:r>
          </w:p>
        </w:tc>
        <w:tc>
          <w:tcPr>
            <w:tcW w:type="dxa" w:w="1408"/>
            <w:vAlign w:val="center"/>
          </w:tcPr>
          <w:p>
            <w:r>
              <w:rPr>
                <w:sz w:val="17"/>
              </w:rPr>
              <w:t>Filter et al.</w:t>
            </w:r>
          </w:p>
        </w:tc>
        <w:tc>
          <w:tcPr>
            <w:tcW w:type="dxa" w:w="1408"/>
            <w:vAlign w:val="center"/>
          </w:tcPr>
          <w:p>
            <w:r>
              <w:rPr>
                <w:sz w:val="17"/>
              </w:rPr>
              <w:t>One Health Surveillance Codex: promoting the adoption of One Health solutions within and across European countries</w:t>
            </w:r>
          </w:p>
        </w:tc>
        <w:tc>
          <w:tcPr>
            <w:tcW w:type="dxa" w:w="1408"/>
            <w:vAlign w:val="center"/>
          </w:tcPr>
          <w:p>
            <w:r>
              <w:rPr>
                <w:sz w:val="17"/>
              </w:rPr>
              <w:t>Review/framework</w:t>
            </w:r>
          </w:p>
        </w:tc>
        <w:tc>
          <w:tcPr>
            <w:tcW w:type="dxa" w:w="1408"/>
            <w:vAlign w:val="center"/>
          </w:tcPr>
          <w:p>
            <w:r>
              <w:rPr>
                <w:sz w:val="17"/>
              </w:rPr>
              <w:t>One Health surveillance integration</w:t>
            </w:r>
          </w:p>
        </w:tc>
        <w:tc>
          <w:tcPr>
            <w:tcW w:type="dxa" w:w="1408"/>
            <w:vAlign w:val="center"/>
          </w:tcPr>
          <w:p>
            <w:r>
              <w:rPr>
                <w:sz w:val="17"/>
              </w:rPr>
              <w:t>Highlights cross-sector communication, collaboration and knowledge exchange as practical barriers and proposes a sharing framework for surveillance solutions.</w:t>
            </w:r>
          </w:p>
        </w:tc>
        <w:tc>
          <w:tcPr>
            <w:tcW w:type="dxa" w:w="1408"/>
            <w:vAlign w:val="center"/>
          </w:tcPr>
          <w:p>
            <w:r>
              <w:rPr>
                <w:sz w:val="17"/>
              </w:rPr>
              <w:t>https://pubmed.ncbi.nlm.nih.gov/33786360/</w:t>
            </w:r>
          </w:p>
        </w:tc>
      </w:tr>
      <w:tr>
        <w:tc>
          <w:tcPr>
            <w:tcW w:type="dxa" w:w="1408"/>
            <w:vAlign w:val="center"/>
          </w:tcPr>
          <w:p>
            <w:r>
              <w:rPr>
                <w:sz w:val="17"/>
              </w:rPr>
              <w:t>2021</w:t>
            </w:r>
          </w:p>
        </w:tc>
        <w:tc>
          <w:tcPr>
            <w:tcW w:type="dxa" w:w="1408"/>
            <w:vAlign w:val="center"/>
          </w:tcPr>
          <w:p>
            <w:r>
              <w:rPr>
                <w:sz w:val="17"/>
              </w:rPr>
              <w:t>Leandro et al.</w:t>
            </w:r>
          </w:p>
        </w:tc>
        <w:tc>
          <w:tcPr>
            <w:tcW w:type="dxa" w:w="1408"/>
            <w:vAlign w:val="center"/>
          </w:tcPr>
          <w:p>
            <w:r>
              <w:rPr>
                <w:sz w:val="17"/>
              </w:rPr>
              <w:t>The adoption of the One Health approach to improve surveillance of venomous animal injury, vector-borne and zoonotic diseases in Foz do Iguaçu, Brazil</w:t>
            </w:r>
          </w:p>
        </w:tc>
        <w:tc>
          <w:tcPr>
            <w:tcW w:type="dxa" w:w="1408"/>
            <w:vAlign w:val="center"/>
          </w:tcPr>
          <w:p>
            <w:r>
              <w:rPr>
                <w:sz w:val="17"/>
              </w:rPr>
              <w:t>Implementation study</w:t>
            </w:r>
          </w:p>
        </w:tc>
        <w:tc>
          <w:tcPr>
            <w:tcW w:type="dxa" w:w="1408"/>
            <w:vAlign w:val="center"/>
          </w:tcPr>
          <w:p>
            <w:r>
              <w:rPr>
                <w:sz w:val="17"/>
              </w:rPr>
              <w:t>Brazil / digital surveillance</w:t>
            </w:r>
          </w:p>
        </w:tc>
        <w:tc>
          <w:tcPr>
            <w:tcW w:type="dxa" w:w="1408"/>
            <w:vAlign w:val="center"/>
          </w:tcPr>
          <w:p>
            <w:r>
              <w:rPr>
                <w:sz w:val="17"/>
              </w:rPr>
              <w:t>Describes modernization from paper-based, siloed work toward One Health using digital solutions, team integration, training, mobilization and active surveys.</w:t>
            </w:r>
          </w:p>
        </w:tc>
        <w:tc>
          <w:tcPr>
            <w:tcW w:type="dxa" w:w="1408"/>
            <w:vAlign w:val="center"/>
          </w:tcPr>
          <w:p>
            <w:r>
              <w:rPr>
                <w:sz w:val="17"/>
              </w:rPr>
              <w:t>https://pubmed.ncbi.nlm.nih.gov/33600424/</w:t>
            </w:r>
          </w:p>
        </w:tc>
      </w:tr>
      <w:tr>
        <w:tc>
          <w:tcPr>
            <w:tcW w:type="dxa" w:w="1408"/>
            <w:vAlign w:val="center"/>
          </w:tcPr>
          <w:p>
            <w:r>
              <w:rPr>
                <w:sz w:val="17"/>
              </w:rPr>
              <w:t>2022</w:t>
            </w:r>
          </w:p>
        </w:tc>
        <w:tc>
          <w:tcPr>
            <w:tcW w:type="dxa" w:w="1408"/>
            <w:vAlign w:val="center"/>
          </w:tcPr>
          <w:p>
            <w:r>
              <w:rPr>
                <w:sz w:val="17"/>
              </w:rPr>
              <w:t>Keshavamurthy et al.</w:t>
            </w:r>
          </w:p>
        </w:tc>
        <w:tc>
          <w:tcPr>
            <w:tcW w:type="dxa" w:w="1408"/>
            <w:vAlign w:val="center"/>
          </w:tcPr>
          <w:p>
            <w:r>
              <w:rPr>
                <w:sz w:val="17"/>
              </w:rPr>
              <w:t>Predicting infectious disease for biopreparedness and response: A systematic review of machine learning and deep learning approaches</w:t>
            </w:r>
          </w:p>
        </w:tc>
        <w:tc>
          <w:tcPr>
            <w:tcW w:type="dxa" w:w="1408"/>
            <w:vAlign w:val="center"/>
          </w:tcPr>
          <w:p>
            <w:r>
              <w:rPr>
                <w:sz w:val="17"/>
              </w:rPr>
              <w:t>Systematic review</w:t>
            </w:r>
          </w:p>
        </w:tc>
        <w:tc>
          <w:tcPr>
            <w:tcW w:type="dxa" w:w="1408"/>
            <w:vAlign w:val="center"/>
          </w:tcPr>
          <w:p>
            <w:r>
              <w:rPr>
                <w:sz w:val="17"/>
              </w:rPr>
              <w:t>AI/ML forecasting</w:t>
            </w:r>
          </w:p>
        </w:tc>
        <w:tc>
          <w:tcPr>
            <w:tcW w:type="dxa" w:w="1408"/>
            <w:vAlign w:val="center"/>
          </w:tcPr>
          <w:p>
            <w:r>
              <w:rPr>
                <w:sz w:val="17"/>
              </w:rPr>
              <w:t>Synthesizes ML/DL for infectious disease prediction and biopreparedness; supports forecasting while underscoring model/data heterogeneity.</w:t>
            </w:r>
          </w:p>
        </w:tc>
        <w:tc>
          <w:tcPr>
            <w:tcW w:type="dxa" w:w="1408"/>
            <w:vAlign w:val="center"/>
          </w:tcPr>
          <w:p>
            <w:r>
              <w:rPr>
                <w:sz w:val="17"/>
              </w:rPr>
              <w:t>https://pubmed.ncbi.nlm.nih.gov/36277100/</w:t>
            </w:r>
          </w:p>
        </w:tc>
      </w:tr>
      <w:tr>
        <w:tc>
          <w:tcPr>
            <w:tcW w:type="dxa" w:w="1408"/>
            <w:vAlign w:val="center"/>
          </w:tcPr>
          <w:p>
            <w:r>
              <w:rPr>
                <w:sz w:val="17"/>
              </w:rPr>
              <w:t>2022</w:t>
            </w:r>
          </w:p>
        </w:tc>
        <w:tc>
          <w:tcPr>
            <w:tcW w:type="dxa" w:w="1408"/>
            <w:vAlign w:val="center"/>
          </w:tcPr>
          <w:p>
            <w:r>
              <w:rPr>
                <w:sz w:val="17"/>
              </w:rPr>
              <w:t>Wilson; Marasoiu</w:t>
            </w:r>
          </w:p>
        </w:tc>
        <w:tc>
          <w:tcPr>
            <w:tcW w:type="dxa" w:w="1408"/>
            <w:vAlign w:val="center"/>
          </w:tcPr>
          <w:p>
            <w:r>
              <w:rPr>
                <w:sz w:val="17"/>
              </w:rPr>
              <w:t>The Development and Use of Chatbots in Public Health: Scoping Review</w:t>
            </w:r>
          </w:p>
        </w:tc>
        <w:tc>
          <w:tcPr>
            <w:tcW w:type="dxa" w:w="1408"/>
            <w:vAlign w:val="center"/>
          </w:tcPr>
          <w:p>
            <w:r>
              <w:rPr>
                <w:sz w:val="17"/>
              </w:rPr>
              <w:t>Scoping review</w:t>
            </w:r>
          </w:p>
        </w:tc>
        <w:tc>
          <w:tcPr>
            <w:tcW w:type="dxa" w:w="1408"/>
            <w:vAlign w:val="center"/>
          </w:tcPr>
          <w:p>
            <w:r>
              <w:rPr>
                <w:sz w:val="17"/>
              </w:rPr>
              <w:t>Chatbots / public health</w:t>
            </w:r>
          </w:p>
        </w:tc>
        <w:tc>
          <w:tcPr>
            <w:tcW w:type="dxa" w:w="1408"/>
            <w:vAlign w:val="center"/>
          </w:tcPr>
          <w:p>
            <w:r>
              <w:rPr>
                <w:sz w:val="17"/>
              </w:rPr>
              <w:t>1506 records identified and 32 studies included; evidence promising for repetitive/public-health tasks but efficacy evidence remains limited; UX, legal and ethical issues are central.</w:t>
            </w:r>
          </w:p>
        </w:tc>
        <w:tc>
          <w:tcPr>
            <w:tcW w:type="dxa" w:w="1408"/>
            <w:vAlign w:val="center"/>
          </w:tcPr>
          <w:p>
            <w:r>
              <w:rPr>
                <w:sz w:val="17"/>
              </w:rPr>
              <w:t>https://humanfactors.jmir.org/2022/4/e35882/</w:t>
            </w:r>
          </w:p>
        </w:tc>
      </w:tr>
      <w:tr>
        <w:tc>
          <w:tcPr>
            <w:tcW w:type="dxa" w:w="1408"/>
            <w:vAlign w:val="center"/>
          </w:tcPr>
          <w:p>
            <w:r>
              <w:rPr>
                <w:sz w:val="17"/>
              </w:rPr>
              <w:t>2023</w:t>
            </w:r>
          </w:p>
        </w:tc>
        <w:tc>
          <w:tcPr>
            <w:tcW w:type="dxa" w:w="1408"/>
            <w:vAlign w:val="center"/>
          </w:tcPr>
          <w:p>
            <w:r>
              <w:rPr>
                <w:sz w:val="17"/>
              </w:rPr>
              <w:t>Neves et al.</w:t>
            </w:r>
          </w:p>
        </w:tc>
        <w:tc>
          <w:tcPr>
            <w:tcW w:type="dxa" w:w="1408"/>
            <w:vAlign w:val="center"/>
          </w:tcPr>
          <w:p>
            <w:r>
              <w:rPr>
                <w:sz w:val="17"/>
              </w:rPr>
              <w:t>The Swiss Pathogen Surveillance Platform - towards a nation-wide One Health data exchange platform for bacterial, viral and fungal genomics and associated metadata</w:t>
            </w:r>
          </w:p>
        </w:tc>
        <w:tc>
          <w:tcPr>
            <w:tcW w:type="dxa" w:w="1408"/>
            <w:vAlign w:val="center"/>
          </w:tcPr>
          <w:p>
            <w:r>
              <w:rPr>
                <w:sz w:val="17"/>
              </w:rPr>
              <w:t>Platform study</w:t>
            </w:r>
          </w:p>
        </w:tc>
        <w:tc>
          <w:tcPr>
            <w:tcW w:type="dxa" w:w="1408"/>
            <w:vAlign w:val="center"/>
          </w:tcPr>
          <w:p>
            <w:r>
              <w:rPr>
                <w:sz w:val="17"/>
              </w:rPr>
              <w:t>Data exchange / One Health</w:t>
            </w:r>
          </w:p>
        </w:tc>
        <w:tc>
          <w:tcPr>
            <w:tcW w:type="dxa" w:w="1408"/>
            <w:vAlign w:val="center"/>
          </w:tcPr>
          <w:p>
            <w:r>
              <w:rPr>
                <w:sz w:val="17"/>
              </w:rPr>
              <w:t>Describes a nationwide data exchange platform, reinforcing metadata standardization, interoperability and cross-sector sharing.</w:t>
            </w:r>
          </w:p>
        </w:tc>
        <w:tc>
          <w:tcPr>
            <w:tcW w:type="dxa" w:w="1408"/>
            <w:vAlign w:val="center"/>
          </w:tcPr>
          <w:p>
            <w:r>
              <w:rPr>
                <w:sz w:val="17"/>
              </w:rPr>
              <w:t>https://pubmed.ncbi.nlm.nih.gov/37171846/</w:t>
            </w:r>
          </w:p>
        </w:tc>
      </w:tr>
      <w:tr>
        <w:tc>
          <w:tcPr>
            <w:tcW w:type="dxa" w:w="1408"/>
            <w:vAlign w:val="center"/>
          </w:tcPr>
          <w:p>
            <w:r>
              <w:rPr>
                <w:sz w:val="17"/>
              </w:rPr>
              <w:t>2023</w:t>
            </w:r>
          </w:p>
        </w:tc>
        <w:tc>
          <w:tcPr>
            <w:tcW w:type="dxa" w:w="1408"/>
            <w:vAlign w:val="center"/>
          </w:tcPr>
          <w:p>
            <w:r>
              <w:rPr>
                <w:sz w:val="17"/>
              </w:rPr>
              <w:t>Li et al.</w:t>
            </w:r>
          </w:p>
        </w:tc>
        <w:tc>
          <w:tcPr>
            <w:tcW w:type="dxa" w:w="1408"/>
            <w:vAlign w:val="center"/>
          </w:tcPr>
          <w:p>
            <w:r>
              <w:rPr>
                <w:sz w:val="17"/>
              </w:rPr>
              <w:t>Feasibility and effectiveness of artificial intelligence-driven conversational agents in healthcare interventions: A systematic review of randomized controlled trials</w:t>
            </w:r>
          </w:p>
        </w:tc>
        <w:tc>
          <w:tcPr>
            <w:tcW w:type="dxa" w:w="1408"/>
            <w:vAlign w:val="center"/>
          </w:tcPr>
          <w:p>
            <w:r>
              <w:rPr>
                <w:sz w:val="17"/>
              </w:rPr>
              <w:t>Systematic review</w:t>
            </w:r>
          </w:p>
        </w:tc>
        <w:tc>
          <w:tcPr>
            <w:tcW w:type="dxa" w:w="1408"/>
            <w:vAlign w:val="center"/>
          </w:tcPr>
          <w:p>
            <w:r>
              <w:rPr>
                <w:sz w:val="17"/>
              </w:rPr>
              <w:t>Conversational AI</w:t>
            </w:r>
          </w:p>
        </w:tc>
        <w:tc>
          <w:tcPr>
            <w:tcW w:type="dxa" w:w="1408"/>
            <w:vAlign w:val="center"/>
          </w:tcPr>
          <w:p>
            <w:r>
              <w:rPr>
                <w:sz w:val="17"/>
              </w:rPr>
              <w:t>Finds AI conversational agents feasible/acceptable with mixed outcome effects and variable bias; supports adjunctive rather than replacement role.</w:t>
            </w:r>
          </w:p>
        </w:tc>
        <w:tc>
          <w:tcPr>
            <w:tcW w:type="dxa" w:w="1408"/>
            <w:vAlign w:val="center"/>
          </w:tcPr>
          <w:p>
            <w:r>
              <w:rPr>
                <w:sz w:val="17"/>
              </w:rPr>
              <w:t>https://pubmed.ncbi.nlm.nih.gov/37146391/</w:t>
            </w:r>
          </w:p>
        </w:tc>
      </w:tr>
      <w:tr>
        <w:tc>
          <w:tcPr>
            <w:tcW w:type="dxa" w:w="1408"/>
            <w:vAlign w:val="center"/>
          </w:tcPr>
          <w:p>
            <w:r>
              <w:rPr>
                <w:sz w:val="17"/>
              </w:rPr>
              <w:t>2023</w:t>
            </w:r>
          </w:p>
        </w:tc>
        <w:tc>
          <w:tcPr>
            <w:tcW w:type="dxa" w:w="1408"/>
            <w:vAlign w:val="center"/>
          </w:tcPr>
          <w:p>
            <w:r>
              <w:rPr>
                <w:sz w:val="17"/>
              </w:rPr>
              <w:t>Kibenge</w:t>
            </w:r>
          </w:p>
        </w:tc>
        <w:tc>
          <w:tcPr>
            <w:tcW w:type="dxa" w:w="1408"/>
            <w:vAlign w:val="center"/>
          </w:tcPr>
          <w:p>
            <w:r>
              <w:rPr>
                <w:sz w:val="17"/>
              </w:rPr>
              <w:t>Continuous surveillance and viral discovery in animals and humans are a core component of a one-health approach to address recent viral reverse zoonoses</w:t>
            </w:r>
          </w:p>
        </w:tc>
        <w:tc>
          <w:tcPr>
            <w:tcW w:type="dxa" w:w="1408"/>
            <w:vAlign w:val="center"/>
          </w:tcPr>
          <w:p>
            <w:r>
              <w:rPr>
                <w:sz w:val="17"/>
              </w:rPr>
              <w:t>Review</w:t>
            </w:r>
          </w:p>
        </w:tc>
        <w:tc>
          <w:tcPr>
            <w:tcW w:type="dxa" w:w="1408"/>
            <w:vAlign w:val="center"/>
          </w:tcPr>
          <w:p>
            <w:r>
              <w:rPr>
                <w:sz w:val="17"/>
              </w:rPr>
              <w:t>Continuous One Health surveillance</w:t>
            </w:r>
          </w:p>
        </w:tc>
        <w:tc>
          <w:tcPr>
            <w:tcW w:type="dxa" w:w="1408"/>
            <w:vAlign w:val="center"/>
          </w:tcPr>
          <w:p>
            <w:r>
              <w:rPr>
                <w:sz w:val="17"/>
              </w:rPr>
              <w:t>Reinforces continuous animal-human surveillance and discovery as core One Health capacity.</w:t>
            </w:r>
          </w:p>
        </w:tc>
        <w:tc>
          <w:tcPr>
            <w:tcW w:type="dxa" w:w="1408"/>
            <w:vAlign w:val="center"/>
          </w:tcPr>
          <w:p>
            <w:r>
              <w:rPr>
                <w:sz w:val="17"/>
              </w:rPr>
              <w:t>https://pubmed.ncbi.nlm.nih.gov/37072119/</w:t>
            </w:r>
          </w:p>
        </w:tc>
      </w:tr>
      <w:tr>
        <w:tc>
          <w:tcPr>
            <w:tcW w:type="dxa" w:w="1408"/>
            <w:vAlign w:val="center"/>
          </w:tcPr>
          <w:p>
            <w:r>
              <w:rPr>
                <w:sz w:val="17"/>
              </w:rPr>
              <w:t>2024</w:t>
            </w:r>
          </w:p>
        </w:tc>
        <w:tc>
          <w:tcPr>
            <w:tcW w:type="dxa" w:w="1408"/>
            <w:vAlign w:val="center"/>
          </w:tcPr>
          <w:p>
            <w:r>
              <w:rPr>
                <w:sz w:val="17"/>
              </w:rPr>
              <w:t>Dupuy et al.</w:t>
            </w:r>
          </w:p>
        </w:tc>
        <w:tc>
          <w:tcPr>
            <w:tcW w:type="dxa" w:w="1408"/>
            <w:vAlign w:val="center"/>
          </w:tcPr>
          <w:p>
            <w:r>
              <w:rPr>
                <w:sz w:val="17"/>
              </w:rPr>
              <w:t>The French National Animal Health Surveillance Platform: an innovative, cross-sector collaboration to improve surveillance system efficiency in France and a tangible example of the One Health approach</w:t>
            </w:r>
          </w:p>
        </w:tc>
        <w:tc>
          <w:tcPr>
            <w:tcW w:type="dxa" w:w="1408"/>
            <w:vAlign w:val="center"/>
          </w:tcPr>
          <w:p>
            <w:r>
              <w:rPr>
                <w:sz w:val="17"/>
              </w:rPr>
              <w:t>Implementation study</w:t>
            </w:r>
          </w:p>
        </w:tc>
        <w:tc>
          <w:tcPr>
            <w:tcW w:type="dxa" w:w="1408"/>
            <w:vAlign w:val="center"/>
          </w:tcPr>
          <w:p>
            <w:r>
              <w:rPr>
                <w:sz w:val="17"/>
              </w:rPr>
              <w:t>Governance / cross-sector platform</w:t>
            </w:r>
          </w:p>
        </w:tc>
        <w:tc>
          <w:tcPr>
            <w:tcW w:type="dxa" w:w="1408"/>
            <w:vAlign w:val="center"/>
          </w:tcPr>
          <w:p>
            <w:r>
              <w:rPr>
                <w:sz w:val="17"/>
              </w:rPr>
              <w:t>Documents a multi-institutional surveillance platform and governance structure for animal health and zoonoses.</w:t>
            </w:r>
          </w:p>
        </w:tc>
        <w:tc>
          <w:tcPr>
            <w:tcW w:type="dxa" w:w="1408"/>
            <w:vAlign w:val="center"/>
          </w:tcPr>
          <w:p>
            <w:r>
              <w:rPr>
                <w:sz w:val="17"/>
              </w:rPr>
              <w:t>https://pubmed.ncbi.nlm.nih.gov/39234170/</w:t>
            </w:r>
          </w:p>
        </w:tc>
      </w:tr>
      <w:tr>
        <w:tc>
          <w:tcPr>
            <w:tcW w:type="dxa" w:w="1408"/>
            <w:vAlign w:val="center"/>
          </w:tcPr>
          <w:p>
            <w:r>
              <w:rPr>
                <w:sz w:val="17"/>
              </w:rPr>
              <w:t>2024</w:t>
            </w:r>
          </w:p>
        </w:tc>
        <w:tc>
          <w:tcPr>
            <w:tcW w:type="dxa" w:w="1408"/>
            <w:vAlign w:val="center"/>
          </w:tcPr>
          <w:p>
            <w:r>
              <w:rPr>
                <w:sz w:val="17"/>
              </w:rPr>
              <w:t>Kenya OHAMRS authors</w:t>
            </w:r>
          </w:p>
        </w:tc>
        <w:tc>
          <w:tcPr>
            <w:tcW w:type="dxa" w:w="1408"/>
            <w:vAlign w:val="center"/>
          </w:tcPr>
          <w:p>
            <w:r>
              <w:rPr>
                <w:sz w:val="17"/>
              </w:rPr>
              <w:t>Progress made in digitalizing antimicrobial resistance surveillance in a One Health approach in Kenya</w:t>
            </w:r>
          </w:p>
        </w:tc>
        <w:tc>
          <w:tcPr>
            <w:tcW w:type="dxa" w:w="1408"/>
            <w:vAlign w:val="center"/>
          </w:tcPr>
          <w:p>
            <w:r>
              <w:rPr>
                <w:sz w:val="17"/>
              </w:rPr>
              <w:t>Implementation study</w:t>
            </w:r>
          </w:p>
        </w:tc>
        <w:tc>
          <w:tcPr>
            <w:tcW w:type="dxa" w:w="1408"/>
            <w:vAlign w:val="center"/>
          </w:tcPr>
          <w:p>
            <w:r>
              <w:rPr>
                <w:sz w:val="17"/>
              </w:rPr>
              <w:t>Digital One Health surveillance</w:t>
            </w:r>
          </w:p>
        </w:tc>
        <w:tc>
          <w:tcPr>
            <w:tcW w:type="dxa" w:w="1408"/>
            <w:vAlign w:val="center"/>
          </w:tcPr>
          <w:p>
            <w:r>
              <w:rPr>
                <w:sz w:val="17"/>
              </w:rPr>
              <w:t>Shows national integration of human and animal AMR data into an electronic One Health surveillance repository.</w:t>
            </w:r>
          </w:p>
        </w:tc>
        <w:tc>
          <w:tcPr>
            <w:tcW w:type="dxa" w:w="1408"/>
            <w:vAlign w:val="center"/>
          </w:tcPr>
          <w:p>
            <w:r>
              <w:rPr>
                <w:sz w:val="17"/>
              </w:rPr>
              <w:t>https://pubmed.ncbi.nlm.nih.gov/39435404/</w:t>
            </w:r>
          </w:p>
        </w:tc>
      </w:tr>
      <w:tr>
        <w:tc>
          <w:tcPr>
            <w:tcW w:type="dxa" w:w="1408"/>
            <w:vAlign w:val="center"/>
          </w:tcPr>
          <w:p>
            <w:r>
              <w:rPr>
                <w:sz w:val="17"/>
              </w:rPr>
              <w:t>2024</w:t>
            </w:r>
          </w:p>
        </w:tc>
        <w:tc>
          <w:tcPr>
            <w:tcW w:type="dxa" w:w="1408"/>
            <w:vAlign w:val="center"/>
          </w:tcPr>
          <w:p>
            <w:r>
              <w:rPr>
                <w:sz w:val="17"/>
              </w:rPr>
              <w:t>Clinical documentation review authors</w:t>
            </w:r>
          </w:p>
        </w:tc>
        <w:tc>
          <w:tcPr>
            <w:tcW w:type="dxa" w:w="1408"/>
            <w:vAlign w:val="center"/>
          </w:tcPr>
          <w:p>
            <w:r>
              <w:rPr>
                <w:sz w:val="17"/>
              </w:rPr>
              <w:t>Improving Clinical Documentation with Artificial Intelligence: A Systematic Review</w:t>
            </w:r>
          </w:p>
        </w:tc>
        <w:tc>
          <w:tcPr>
            <w:tcW w:type="dxa" w:w="1408"/>
            <w:vAlign w:val="center"/>
          </w:tcPr>
          <w:p>
            <w:r>
              <w:rPr>
                <w:sz w:val="17"/>
              </w:rPr>
              <w:t>Systematic review</w:t>
            </w:r>
          </w:p>
        </w:tc>
        <w:tc>
          <w:tcPr>
            <w:tcW w:type="dxa" w:w="1408"/>
            <w:vAlign w:val="center"/>
          </w:tcPr>
          <w:p>
            <w:r>
              <w:rPr>
                <w:sz w:val="17"/>
              </w:rPr>
              <w:t>AI documentation</w:t>
            </w:r>
          </w:p>
        </w:tc>
        <w:tc>
          <w:tcPr>
            <w:tcW w:type="dxa" w:w="1408"/>
            <w:vAlign w:val="center"/>
          </w:tcPr>
          <w:p>
            <w:r>
              <w:rPr>
                <w:sz w:val="17"/>
              </w:rPr>
              <w:t>129 studies extracted from 673 candidates; AI used to structure, annotate, assess and improve documentation, informing document/OCR workflows.</w:t>
            </w:r>
          </w:p>
        </w:tc>
        <w:tc>
          <w:tcPr>
            <w:tcW w:type="dxa" w:w="1408"/>
            <w:vAlign w:val="center"/>
          </w:tcPr>
          <w:p>
            <w:r>
              <w:rPr>
                <w:sz w:val="17"/>
              </w:rPr>
              <w:t>https://pmc.ncbi.nlm.nih.gov/articles/PMC11605373/</w:t>
            </w:r>
          </w:p>
        </w:tc>
      </w:tr>
      <w:tr>
        <w:tc>
          <w:tcPr>
            <w:tcW w:type="dxa" w:w="1408"/>
            <w:vAlign w:val="center"/>
          </w:tcPr>
          <w:p>
            <w:r>
              <w:rPr>
                <w:sz w:val="17"/>
              </w:rPr>
              <w:t>2025</w:t>
            </w:r>
          </w:p>
        </w:tc>
        <w:tc>
          <w:tcPr>
            <w:tcW w:type="dxa" w:w="1408"/>
            <w:vAlign w:val="center"/>
          </w:tcPr>
          <w:p>
            <w:r>
              <w:rPr>
                <w:sz w:val="17"/>
              </w:rPr>
              <w:t>Villanueva-Miranda; Xiao; Xie</w:t>
            </w:r>
          </w:p>
        </w:tc>
        <w:tc>
          <w:tcPr>
            <w:tcW w:type="dxa" w:w="1408"/>
            <w:vAlign w:val="center"/>
          </w:tcPr>
          <w:p>
            <w:r>
              <w:rPr>
                <w:sz w:val="17"/>
              </w:rPr>
              <w:t>Artificial intelligence in early warning systems for infectious disease surveillance: a systematic review</w:t>
            </w:r>
          </w:p>
        </w:tc>
        <w:tc>
          <w:tcPr>
            <w:tcW w:type="dxa" w:w="1408"/>
            <w:vAlign w:val="center"/>
          </w:tcPr>
          <w:p>
            <w:r>
              <w:rPr>
                <w:sz w:val="17"/>
              </w:rPr>
              <w:t>Systematic review</w:t>
            </w:r>
          </w:p>
        </w:tc>
        <w:tc>
          <w:tcPr>
            <w:tcW w:type="dxa" w:w="1408"/>
            <w:vAlign w:val="center"/>
          </w:tcPr>
          <w:p>
            <w:r>
              <w:rPr>
                <w:sz w:val="17"/>
              </w:rPr>
              <w:t>AI early warning</w:t>
            </w:r>
          </w:p>
        </w:tc>
        <w:tc>
          <w:tcPr>
            <w:tcW w:type="dxa" w:w="1408"/>
            <w:vAlign w:val="center"/>
          </w:tcPr>
          <w:p>
            <w:r>
              <w:rPr>
                <w:sz w:val="17"/>
              </w:rPr>
              <w:t>PRISMA review: 600 records screened, 67 included; ML/DL/NLP support earlier detection and prediction, with challenges in data quality, bias, transparency, integration, privacy and equity.</w:t>
            </w:r>
          </w:p>
        </w:tc>
        <w:tc>
          <w:tcPr>
            <w:tcW w:type="dxa" w:w="1408"/>
            <w:vAlign w:val="center"/>
          </w:tcPr>
          <w:p>
            <w:r>
              <w:rPr>
                <w:sz w:val="17"/>
              </w:rPr>
              <w:t>https://www.frontiersin.org/journals/public-health/articles/10.3389/fpubh.2025.1609615/full</w:t>
            </w:r>
          </w:p>
        </w:tc>
      </w:tr>
      <w:tr>
        <w:tc>
          <w:tcPr>
            <w:tcW w:type="dxa" w:w="1408"/>
            <w:vAlign w:val="center"/>
          </w:tcPr>
          <w:p>
            <w:r>
              <w:rPr>
                <w:sz w:val="17"/>
              </w:rPr>
              <w:t>2025</w:t>
            </w:r>
          </w:p>
        </w:tc>
        <w:tc>
          <w:tcPr>
            <w:tcW w:type="dxa" w:w="1408"/>
            <w:vAlign w:val="center"/>
          </w:tcPr>
          <w:p>
            <w:r>
              <w:rPr>
                <w:sz w:val="17"/>
              </w:rPr>
              <w:t>AI public-health review authors</w:t>
            </w:r>
          </w:p>
        </w:tc>
        <w:tc>
          <w:tcPr>
            <w:tcW w:type="dxa" w:w="1408"/>
            <w:vAlign w:val="center"/>
          </w:tcPr>
          <w:p>
            <w:r>
              <w:rPr>
                <w:sz w:val="17"/>
              </w:rPr>
              <w:t>Artificial intelligence in epidemic watch: revolutionizing infectious diseases surveillance</w:t>
            </w:r>
          </w:p>
        </w:tc>
        <w:tc>
          <w:tcPr>
            <w:tcW w:type="dxa" w:w="1408"/>
            <w:vAlign w:val="center"/>
          </w:tcPr>
          <w:p>
            <w:r>
              <w:rPr>
                <w:sz w:val="17"/>
              </w:rPr>
              <w:t>Review</w:t>
            </w:r>
          </w:p>
        </w:tc>
        <w:tc>
          <w:tcPr>
            <w:tcW w:type="dxa" w:w="1408"/>
            <w:vAlign w:val="center"/>
          </w:tcPr>
          <w:p>
            <w:r>
              <w:rPr>
                <w:sz w:val="17"/>
              </w:rPr>
              <w:t>AI surveillance</w:t>
            </w:r>
          </w:p>
        </w:tc>
        <w:tc>
          <w:tcPr>
            <w:tcW w:type="dxa" w:w="1408"/>
            <w:vAlign w:val="center"/>
          </w:tcPr>
          <w:p>
            <w:r>
              <w:rPr>
                <w:sz w:val="17"/>
              </w:rPr>
              <w:t>Reviews AI/ML for outbreak detection, prediction and surveillance and emphasizes data, governance and contextual expertise.</w:t>
            </w:r>
          </w:p>
        </w:tc>
        <w:tc>
          <w:tcPr>
            <w:tcW w:type="dxa" w:w="1408"/>
            <w:vAlign w:val="center"/>
          </w:tcPr>
          <w:p>
            <w:r>
              <w:rPr>
                <w:sz w:val="17"/>
              </w:rPr>
              <w:t>https://www.frontiersin.org/journals/digital-health/articles/10.3389/fdgth.2025.1692617/full</w:t>
            </w:r>
          </w:p>
        </w:tc>
      </w:tr>
      <w:tr>
        <w:tc>
          <w:tcPr>
            <w:tcW w:type="dxa" w:w="1408"/>
            <w:vAlign w:val="center"/>
          </w:tcPr>
          <w:p>
            <w:r>
              <w:rPr>
                <w:sz w:val="17"/>
              </w:rPr>
              <w:t>2024</w:t>
            </w:r>
          </w:p>
        </w:tc>
        <w:tc>
          <w:tcPr>
            <w:tcW w:type="dxa" w:w="1408"/>
            <w:vAlign w:val="center"/>
          </w:tcPr>
          <w:p>
            <w:r>
              <w:rPr>
                <w:sz w:val="17"/>
              </w:rPr>
              <w:t>Rabies Morocco authors</w:t>
            </w:r>
          </w:p>
        </w:tc>
        <w:tc>
          <w:tcPr>
            <w:tcW w:type="dxa" w:w="1408"/>
            <w:vAlign w:val="center"/>
          </w:tcPr>
          <w:p>
            <w:r>
              <w:rPr>
                <w:sz w:val="17"/>
              </w:rPr>
              <w:t>Contribution of artificial intelligence for understanding animal rabies epidemiology in Morocco</w:t>
            </w:r>
          </w:p>
        </w:tc>
        <w:tc>
          <w:tcPr>
            <w:tcW w:type="dxa" w:w="1408"/>
            <w:vAlign w:val="center"/>
          </w:tcPr>
          <w:p>
            <w:r>
              <w:rPr>
                <w:sz w:val="17"/>
              </w:rPr>
              <w:t>Primary study</w:t>
            </w:r>
          </w:p>
        </w:tc>
        <w:tc>
          <w:tcPr>
            <w:tcW w:type="dxa" w:w="1408"/>
            <w:vAlign w:val="center"/>
          </w:tcPr>
          <w:p>
            <w:r>
              <w:rPr>
                <w:sz w:val="17"/>
              </w:rPr>
              <w:t>GeoAI / rabies</w:t>
            </w:r>
          </w:p>
        </w:tc>
        <w:tc>
          <w:tcPr>
            <w:tcW w:type="dxa" w:w="1408"/>
            <w:vAlign w:val="center"/>
          </w:tcPr>
          <w:p>
            <w:r>
              <w:rPr>
                <w:sz w:val="17"/>
              </w:rPr>
              <w:t>Combines kriging/geospatial analysis with machine learning and socioeconomic variables for predictive rabies risk.</w:t>
            </w:r>
          </w:p>
        </w:tc>
        <w:tc>
          <w:tcPr>
            <w:tcW w:type="dxa" w:w="1408"/>
            <w:vAlign w:val="center"/>
          </w:tcPr>
          <w:p>
            <w:r>
              <w:rPr>
                <w:sz w:val="17"/>
              </w:rPr>
              <w:t>https://pubmed.ncbi.nlm.nih.gov/39247759/</w:t>
            </w:r>
          </w:p>
        </w:tc>
      </w:tr>
      <w:tr>
        <w:tc>
          <w:tcPr>
            <w:tcW w:type="dxa" w:w="1408"/>
            <w:vAlign w:val="center"/>
          </w:tcPr>
          <w:p>
            <w:r>
              <w:rPr>
                <w:sz w:val="17"/>
              </w:rPr>
              <w:t>2025</w:t>
            </w:r>
          </w:p>
        </w:tc>
        <w:tc>
          <w:tcPr>
            <w:tcW w:type="dxa" w:w="1408"/>
            <w:vAlign w:val="center"/>
          </w:tcPr>
          <w:p>
            <w:r>
              <w:rPr>
                <w:sz w:val="17"/>
              </w:rPr>
              <w:t>Global forecasting framework authors</w:t>
            </w:r>
          </w:p>
        </w:tc>
        <w:tc>
          <w:tcPr>
            <w:tcW w:type="dxa" w:w="1408"/>
            <w:vAlign w:val="center"/>
          </w:tcPr>
          <w:p>
            <w:r>
              <w:rPr>
                <w:sz w:val="17"/>
              </w:rPr>
              <w:t>Meeting Global Health Needs via Infectious Disease Forecasting: Development of a Reliable Data-Driven Framework</w:t>
            </w:r>
          </w:p>
        </w:tc>
        <w:tc>
          <w:tcPr>
            <w:tcW w:type="dxa" w:w="1408"/>
            <w:vAlign w:val="center"/>
          </w:tcPr>
          <w:p>
            <w:r>
              <w:rPr>
                <w:sz w:val="17"/>
              </w:rPr>
              <w:t>Primary platform study</w:t>
            </w:r>
          </w:p>
        </w:tc>
        <w:tc>
          <w:tcPr>
            <w:tcW w:type="dxa" w:w="1408"/>
            <w:vAlign w:val="center"/>
          </w:tcPr>
          <w:p>
            <w:r>
              <w:rPr>
                <w:sz w:val="17"/>
              </w:rPr>
              <w:t>Forecasting + dashboard</w:t>
            </w:r>
          </w:p>
        </w:tc>
        <w:tc>
          <w:tcPr>
            <w:tcW w:type="dxa" w:w="1408"/>
            <w:vAlign w:val="center"/>
          </w:tcPr>
          <w:p>
            <w:r>
              <w:rPr>
                <w:sz w:val="17"/>
              </w:rPr>
              <w:t>Forecasts six zoonotic diseases using statistical/ML/DL models and One Health features; includes visualization dashboard, uncertainty and interpretability.</w:t>
            </w:r>
          </w:p>
        </w:tc>
        <w:tc>
          <w:tcPr>
            <w:tcW w:type="dxa" w:w="1408"/>
            <w:vAlign w:val="center"/>
          </w:tcPr>
          <w:p>
            <w:r>
              <w:rPr>
                <w:sz w:val="17"/>
              </w:rPr>
              <w:t>https://pubmed.ncbi.nlm.nih.gov/40116728/</w:t>
            </w:r>
          </w:p>
        </w:tc>
      </w:tr>
      <w:tr>
        <w:tc>
          <w:tcPr>
            <w:tcW w:type="dxa" w:w="1408"/>
            <w:vAlign w:val="center"/>
          </w:tcPr>
          <w:p>
            <w:r>
              <w:rPr>
                <w:sz w:val="17"/>
              </w:rPr>
              <w:t>2025</w:t>
            </w:r>
          </w:p>
        </w:tc>
        <w:tc>
          <w:tcPr>
            <w:tcW w:type="dxa" w:w="1408"/>
            <w:vAlign w:val="center"/>
          </w:tcPr>
          <w:p>
            <w:r>
              <w:rPr>
                <w:sz w:val="17"/>
              </w:rPr>
              <w:t>Berke et al.</w:t>
            </w:r>
          </w:p>
        </w:tc>
        <w:tc>
          <w:tcPr>
            <w:tcW w:type="dxa" w:w="1408"/>
            <w:vAlign w:val="center"/>
          </w:tcPr>
          <w:p>
            <w:r>
              <w:rPr>
                <w:sz w:val="17"/>
              </w:rPr>
              <w:t>Of Lyme disease and machine learning in a One Health world</w:t>
            </w:r>
          </w:p>
        </w:tc>
        <w:tc>
          <w:tcPr>
            <w:tcW w:type="dxa" w:w="1408"/>
            <w:vAlign w:val="center"/>
          </w:tcPr>
          <w:p>
            <w:r>
              <w:rPr>
                <w:sz w:val="17"/>
              </w:rPr>
              <w:t>Primary study</w:t>
            </w:r>
          </w:p>
        </w:tc>
        <w:tc>
          <w:tcPr>
            <w:tcW w:type="dxa" w:w="1408"/>
            <w:vAlign w:val="center"/>
          </w:tcPr>
          <w:p>
            <w:r>
              <w:rPr>
                <w:sz w:val="17"/>
              </w:rPr>
              <w:t>Forecasting / Lyme disease</w:t>
            </w:r>
          </w:p>
        </w:tc>
        <w:tc>
          <w:tcPr>
            <w:tcW w:type="dxa" w:w="1408"/>
            <w:vAlign w:val="center"/>
          </w:tcPr>
          <w:p>
            <w:r>
              <w:rPr>
                <w:sz w:val="17"/>
              </w:rPr>
              <w:t>Uses surveillance data to compare neural network and seasonal statistical forecasts, highlighting no universally superior model.</w:t>
            </w:r>
          </w:p>
        </w:tc>
        <w:tc>
          <w:tcPr>
            <w:tcW w:type="dxa" w:w="1408"/>
            <w:vAlign w:val="center"/>
          </w:tcPr>
          <w:p>
            <w:r>
              <w:rPr>
                <w:sz w:val="17"/>
              </w:rPr>
              <w:t>https://pubmed.ncbi.nlm.nih.gov/39933253/</w:t>
            </w:r>
          </w:p>
        </w:tc>
      </w:tr>
      <w:tr>
        <w:tc>
          <w:tcPr>
            <w:tcW w:type="dxa" w:w="1408"/>
            <w:vAlign w:val="center"/>
          </w:tcPr>
          <w:p>
            <w:r>
              <w:rPr>
                <w:sz w:val="17"/>
              </w:rPr>
              <w:t>2025</w:t>
            </w:r>
          </w:p>
        </w:tc>
        <w:tc>
          <w:tcPr>
            <w:tcW w:type="dxa" w:w="1408"/>
            <w:vAlign w:val="center"/>
          </w:tcPr>
          <w:p>
            <w:r>
              <w:rPr>
                <w:sz w:val="17"/>
              </w:rPr>
              <w:t>Guinea One Health authors</w:t>
            </w:r>
          </w:p>
        </w:tc>
        <w:tc>
          <w:tcPr>
            <w:tcW w:type="dxa" w:w="1408"/>
            <w:vAlign w:val="center"/>
          </w:tcPr>
          <w:p>
            <w:r>
              <w:rPr>
                <w:sz w:val="17"/>
              </w:rPr>
              <w:t>Performance of the One Health platform in zoonotic disease surveillance in Guinea</w:t>
            </w:r>
          </w:p>
        </w:tc>
        <w:tc>
          <w:tcPr>
            <w:tcW w:type="dxa" w:w="1408"/>
            <w:vAlign w:val="center"/>
          </w:tcPr>
          <w:p>
            <w:r>
              <w:rPr>
                <w:sz w:val="17"/>
              </w:rPr>
              <w:t>Cross-sectional study</w:t>
            </w:r>
          </w:p>
        </w:tc>
        <w:tc>
          <w:tcPr>
            <w:tcW w:type="dxa" w:w="1408"/>
            <w:vAlign w:val="center"/>
          </w:tcPr>
          <w:p>
            <w:r>
              <w:rPr>
                <w:sz w:val="17"/>
              </w:rPr>
              <w:t>One Health performance</w:t>
            </w:r>
          </w:p>
        </w:tc>
        <w:tc>
          <w:tcPr>
            <w:tcW w:type="dxa" w:w="1408"/>
            <w:vAlign w:val="center"/>
          </w:tcPr>
          <w:p>
            <w:r>
              <w:rPr>
                <w:sz w:val="17"/>
              </w:rPr>
              <w:t>Evaluates regional One Health platforms using standardized components such as coordination, recording/detection, preparedness, resources, training and financing.</w:t>
            </w:r>
          </w:p>
        </w:tc>
        <w:tc>
          <w:tcPr>
            <w:tcW w:type="dxa" w:w="1408"/>
            <w:vAlign w:val="center"/>
          </w:tcPr>
          <w:p>
            <w:r>
              <w:rPr>
                <w:sz w:val="17"/>
              </w:rPr>
              <w:t>https://pubmed.ncbi.nlm.nih.gov/41048283/</w:t>
            </w:r>
          </w:p>
        </w:tc>
      </w:tr>
      <w:tr>
        <w:tc>
          <w:tcPr>
            <w:tcW w:type="dxa" w:w="1408"/>
            <w:vAlign w:val="center"/>
          </w:tcPr>
          <w:p>
            <w:r>
              <w:rPr>
                <w:sz w:val="17"/>
              </w:rPr>
              <w:t>2026</w:t>
            </w:r>
          </w:p>
        </w:tc>
        <w:tc>
          <w:tcPr>
            <w:tcW w:type="dxa" w:w="1408"/>
            <w:vAlign w:val="center"/>
          </w:tcPr>
          <w:p>
            <w:r>
              <w:rPr>
                <w:sz w:val="17"/>
              </w:rPr>
              <w:t>Lokonon et al.</w:t>
            </w:r>
          </w:p>
        </w:tc>
        <w:tc>
          <w:tcPr>
            <w:tcW w:type="dxa" w:w="1408"/>
            <w:vAlign w:val="center"/>
          </w:tcPr>
          <w:p>
            <w:r>
              <w:rPr>
                <w:sz w:val="17"/>
              </w:rPr>
              <w:t>The use of artificial intelligence based modelling techniques in One Health-related infectious disease studies in Sub-Saharan Africa: a review</w:t>
            </w:r>
          </w:p>
        </w:tc>
        <w:tc>
          <w:tcPr>
            <w:tcW w:type="dxa" w:w="1408"/>
            <w:vAlign w:val="center"/>
          </w:tcPr>
          <w:p>
            <w:r>
              <w:rPr>
                <w:sz w:val="17"/>
              </w:rPr>
              <w:t>Systematic review</w:t>
            </w:r>
          </w:p>
        </w:tc>
        <w:tc>
          <w:tcPr>
            <w:tcW w:type="dxa" w:w="1408"/>
            <w:vAlign w:val="center"/>
          </w:tcPr>
          <w:p>
            <w:r>
              <w:rPr>
                <w:sz w:val="17"/>
              </w:rPr>
              <w:t>AI + One Health</w:t>
            </w:r>
          </w:p>
        </w:tc>
        <w:tc>
          <w:tcPr>
            <w:tcW w:type="dxa" w:w="1408"/>
            <w:vAlign w:val="center"/>
          </w:tcPr>
          <w:p>
            <w:r>
              <w:rPr>
                <w:sz w:val="17"/>
              </w:rPr>
              <w:t>Synthesizes 62 peer-reviewed studies; identifies rapid growth but weak integration of animal/environment data and constraints in infrastructure, governance and skills.</w:t>
            </w:r>
          </w:p>
        </w:tc>
        <w:tc>
          <w:tcPr>
            <w:tcW w:type="dxa" w:w="1408"/>
            <w:vAlign w:val="center"/>
          </w:tcPr>
          <w:p>
            <w:r>
              <w:rPr>
                <w:sz w:val="17"/>
              </w:rPr>
              <w:t>https://pubmed.ncbi.nlm.nih.gov/42099707/</w:t>
            </w:r>
          </w:p>
        </w:tc>
      </w:tr>
      <w:tr>
        <w:tc>
          <w:tcPr>
            <w:tcW w:type="dxa" w:w="1408"/>
            <w:vAlign w:val="center"/>
          </w:tcPr>
          <w:p>
            <w:r>
              <w:rPr>
                <w:sz w:val="17"/>
              </w:rPr>
              <w:t>2026</w:t>
            </w:r>
          </w:p>
        </w:tc>
        <w:tc>
          <w:tcPr>
            <w:tcW w:type="dxa" w:w="1408"/>
            <w:vAlign w:val="center"/>
          </w:tcPr>
          <w:p>
            <w:r>
              <w:rPr>
                <w:sz w:val="17"/>
              </w:rPr>
              <w:t>Geospatial One Health review authors</w:t>
            </w:r>
          </w:p>
        </w:tc>
        <w:tc>
          <w:tcPr>
            <w:tcW w:type="dxa" w:w="1408"/>
            <w:vAlign w:val="center"/>
          </w:tcPr>
          <w:p>
            <w:r>
              <w:rPr>
                <w:sz w:val="17"/>
              </w:rPr>
              <w:t>Geospatial modelling for zoonotic disease hotspot identification within a One Health framework: a systematic review</w:t>
            </w:r>
          </w:p>
        </w:tc>
        <w:tc>
          <w:tcPr>
            <w:tcW w:type="dxa" w:w="1408"/>
            <w:vAlign w:val="center"/>
          </w:tcPr>
          <w:p>
            <w:r>
              <w:rPr>
                <w:sz w:val="17"/>
              </w:rPr>
              <w:t>Systematic review</w:t>
            </w:r>
          </w:p>
        </w:tc>
        <w:tc>
          <w:tcPr>
            <w:tcW w:type="dxa" w:w="1408"/>
            <w:vAlign w:val="center"/>
          </w:tcPr>
          <w:p>
            <w:r>
              <w:rPr>
                <w:sz w:val="17"/>
              </w:rPr>
              <w:t>GeoAI / hotspots</w:t>
            </w:r>
          </w:p>
        </w:tc>
        <w:tc>
          <w:tcPr>
            <w:tcW w:type="dxa" w:w="1408"/>
            <w:vAlign w:val="center"/>
          </w:tcPr>
          <w:p>
            <w:r>
              <w:rPr>
                <w:sz w:val="17"/>
              </w:rPr>
              <w:t>PRISMA review of peer-reviewed studies (2000-2025) on zoonotic hotspot identification; stresses GIS/remote sensing/ML and limited full One Health operationalization.</w:t>
            </w:r>
          </w:p>
        </w:tc>
        <w:tc>
          <w:tcPr>
            <w:tcW w:type="dxa" w:w="1408"/>
            <w:vAlign w:val="center"/>
          </w:tcPr>
          <w:p>
            <w:r>
              <w:rPr>
                <w:sz w:val="17"/>
              </w:rPr>
              <w:t>https://pubmed.ncbi.nlm.nih.gov/41593751/</w:t>
            </w:r>
          </w:p>
        </w:tc>
      </w:tr>
      <w:tr>
        <w:tc>
          <w:tcPr>
            <w:tcW w:type="dxa" w:w="1408"/>
            <w:vAlign w:val="center"/>
          </w:tcPr>
          <w:p>
            <w:r>
              <w:rPr>
                <w:sz w:val="17"/>
              </w:rPr>
              <w:t>2026</w:t>
            </w:r>
          </w:p>
        </w:tc>
        <w:tc>
          <w:tcPr>
            <w:tcW w:type="dxa" w:w="1408"/>
            <w:vAlign w:val="center"/>
          </w:tcPr>
          <w:p>
            <w:r>
              <w:rPr>
                <w:sz w:val="17"/>
              </w:rPr>
              <w:t>Malawi OHSP authors</w:t>
            </w:r>
          </w:p>
        </w:tc>
        <w:tc>
          <w:tcPr>
            <w:tcW w:type="dxa" w:w="1408"/>
            <w:vAlign w:val="center"/>
          </w:tcPr>
          <w:p>
            <w:r>
              <w:rPr>
                <w:sz w:val="17"/>
              </w:rPr>
              <w:t>Establishing One Health Surveillance Platform for Electronic Integrated Disease Surveillance and Response in Malawi: Action Design Research Study</w:t>
            </w:r>
          </w:p>
        </w:tc>
        <w:tc>
          <w:tcPr>
            <w:tcW w:type="dxa" w:w="1408"/>
            <w:vAlign w:val="center"/>
          </w:tcPr>
          <w:p>
            <w:r>
              <w:rPr>
                <w:sz w:val="17"/>
              </w:rPr>
              <w:t>Action design research</w:t>
            </w:r>
          </w:p>
        </w:tc>
        <w:tc>
          <w:tcPr>
            <w:tcW w:type="dxa" w:w="1408"/>
            <w:vAlign w:val="center"/>
          </w:tcPr>
          <w:p>
            <w:r>
              <w:rPr>
                <w:sz w:val="17"/>
              </w:rPr>
              <w:t>Digital surveillance platform</w:t>
            </w:r>
          </w:p>
        </w:tc>
        <w:tc>
          <w:tcPr>
            <w:tcW w:type="dxa" w:w="1408"/>
            <w:vAlign w:val="center"/>
          </w:tcPr>
          <w:p>
            <w:r>
              <w:rPr>
                <w:sz w:val="17"/>
              </w:rPr>
              <w:t>Iterative platform development using DHIS2 and existing digital health infrastructure; reports national scale-up and improved completeness/timeliness of weekly reporting.</w:t>
            </w:r>
          </w:p>
        </w:tc>
        <w:tc>
          <w:tcPr>
            <w:tcW w:type="dxa" w:w="1408"/>
            <w:vAlign w:val="center"/>
          </w:tcPr>
          <w:p>
            <w:r>
              <w:rPr>
                <w:sz w:val="17"/>
              </w:rPr>
              <w:t>https://pubmed.ncbi.nlm.nih.gov/41587449/</w:t>
            </w:r>
          </w:p>
        </w:tc>
      </w:tr>
      <w:tr>
        <w:tc>
          <w:tcPr>
            <w:tcW w:type="dxa" w:w="1408"/>
            <w:vAlign w:val="center"/>
          </w:tcPr>
          <w:p>
            <w:r>
              <w:rPr>
                <w:sz w:val="17"/>
              </w:rPr>
              <w:t>2026</w:t>
            </w:r>
          </w:p>
        </w:tc>
        <w:tc>
          <w:tcPr>
            <w:tcW w:type="dxa" w:w="1408"/>
            <w:vAlign w:val="center"/>
          </w:tcPr>
          <w:p>
            <w:r>
              <w:rPr>
                <w:sz w:val="17"/>
              </w:rPr>
              <w:t>ZCL GeoAI authors</w:t>
            </w:r>
          </w:p>
        </w:tc>
        <w:tc>
          <w:tcPr>
            <w:tcW w:type="dxa" w:w="1408"/>
            <w:vAlign w:val="center"/>
          </w:tcPr>
          <w:p>
            <w:r>
              <w:rPr>
                <w:sz w:val="17"/>
              </w:rPr>
              <w:t>GIS-based neural network framework for zoonotic cutaneous leishmaniasis risk mapping in Western Iran</w:t>
            </w:r>
          </w:p>
        </w:tc>
        <w:tc>
          <w:tcPr>
            <w:tcW w:type="dxa" w:w="1408"/>
            <w:vAlign w:val="center"/>
          </w:tcPr>
          <w:p>
            <w:r>
              <w:rPr>
                <w:sz w:val="17"/>
              </w:rPr>
              <w:t>Primary GeoAI study</w:t>
            </w:r>
          </w:p>
        </w:tc>
        <w:tc>
          <w:tcPr>
            <w:tcW w:type="dxa" w:w="1408"/>
            <w:vAlign w:val="center"/>
          </w:tcPr>
          <w:p>
            <w:r>
              <w:rPr>
                <w:sz w:val="17"/>
              </w:rPr>
              <w:t>GIS + neural networks</w:t>
            </w:r>
          </w:p>
        </w:tc>
        <w:tc>
          <w:tcPr>
            <w:tcW w:type="dxa" w:w="1408"/>
            <w:vAlign w:val="center"/>
          </w:tcPr>
          <w:p>
            <w:r>
              <w:rPr>
                <w:sz w:val="17"/>
              </w:rPr>
              <w:t>Integrates GIS, remote sensing and MLP/CNN approaches for high-resolution zoonotic disease risk mapping.</w:t>
            </w:r>
          </w:p>
        </w:tc>
        <w:tc>
          <w:tcPr>
            <w:tcW w:type="dxa" w:w="1408"/>
            <w:vAlign w:val="center"/>
          </w:tcPr>
          <w:p>
            <w:r>
              <w:rPr>
                <w:sz w:val="17"/>
              </w:rPr>
              <w:t>https://pubmed.ncbi.nlm.nih.gov/41886101/</w:t>
            </w:r>
          </w:p>
        </w:tc>
      </w:tr>
      <w:tr>
        <w:tc>
          <w:tcPr>
            <w:tcW w:type="dxa" w:w="1408"/>
            <w:vAlign w:val="center"/>
          </w:tcPr>
          <w:p>
            <w:r>
              <w:rPr>
                <w:sz w:val="17"/>
              </w:rPr>
              <w:t>2026</w:t>
            </w:r>
          </w:p>
        </w:tc>
        <w:tc>
          <w:tcPr>
            <w:tcW w:type="dxa" w:w="1408"/>
            <w:vAlign w:val="center"/>
          </w:tcPr>
          <w:p>
            <w:r>
              <w:rPr>
                <w:sz w:val="17"/>
              </w:rPr>
              <w:t>Parai et al.</w:t>
            </w:r>
          </w:p>
        </w:tc>
        <w:tc>
          <w:tcPr>
            <w:tcW w:type="dxa" w:w="1408"/>
            <w:vAlign w:val="center"/>
          </w:tcPr>
          <w:p>
            <w:r>
              <w:rPr>
                <w:sz w:val="17"/>
              </w:rPr>
              <w:t>Development of One Health-based community surveillance system to study zoonotic diseases: a study protocol</w:t>
            </w:r>
          </w:p>
        </w:tc>
        <w:tc>
          <w:tcPr>
            <w:tcW w:type="dxa" w:w="1408"/>
            <w:vAlign w:val="center"/>
          </w:tcPr>
          <w:p>
            <w:r>
              <w:rPr>
                <w:sz w:val="17"/>
              </w:rPr>
              <w:t>Study protocol</w:t>
            </w:r>
          </w:p>
        </w:tc>
        <w:tc>
          <w:tcPr>
            <w:tcW w:type="dxa" w:w="1408"/>
            <w:vAlign w:val="center"/>
          </w:tcPr>
          <w:p>
            <w:r>
              <w:rPr>
                <w:sz w:val="17"/>
              </w:rPr>
              <w:t>Community digital surveillance</w:t>
            </w:r>
          </w:p>
        </w:tc>
        <w:tc>
          <w:tcPr>
            <w:tcW w:type="dxa" w:w="1408"/>
            <w:vAlign w:val="center"/>
          </w:tcPr>
          <w:p>
            <w:r>
              <w:rPr>
                <w:sz w:val="17"/>
              </w:rPr>
              <w:t>Proposes a digital platform for real-time integration and visualization across human, animal and environmental health sectors.</w:t>
            </w:r>
          </w:p>
        </w:tc>
        <w:tc>
          <w:tcPr>
            <w:tcW w:type="dxa" w:w="1408"/>
            <w:vAlign w:val="center"/>
          </w:tcPr>
          <w:p>
            <w:r>
              <w:rPr>
                <w:sz w:val="17"/>
              </w:rPr>
              <w:t>https://pubmed.ncbi.nlm.nih.gov/41613062/</w:t>
            </w:r>
          </w:p>
        </w:tc>
      </w:tr>
      <w:tr>
        <w:tc>
          <w:tcPr>
            <w:tcW w:type="dxa" w:w="1408"/>
            <w:vAlign w:val="center"/>
          </w:tcPr>
          <w:p>
            <w:r>
              <w:rPr>
                <w:sz w:val="17"/>
              </w:rPr>
              <w:t>2026</w:t>
            </w:r>
          </w:p>
        </w:tc>
        <w:tc>
          <w:tcPr>
            <w:tcW w:type="dxa" w:w="1408"/>
            <w:vAlign w:val="center"/>
          </w:tcPr>
          <w:p>
            <w:r>
              <w:rPr>
                <w:sz w:val="17"/>
              </w:rPr>
              <w:t>Rabbani et al.</w:t>
            </w:r>
          </w:p>
        </w:tc>
        <w:tc>
          <w:tcPr>
            <w:tcW w:type="dxa" w:w="1408"/>
            <w:vAlign w:val="center"/>
          </w:tcPr>
          <w:p>
            <w:r>
              <w:rPr>
                <w:sz w:val="17"/>
              </w:rPr>
              <w:t>From surveillance to intelligence: a scoping review of machine learning for antimicrobial resistance surveillance intelligence across One Health</w:t>
            </w:r>
          </w:p>
        </w:tc>
        <w:tc>
          <w:tcPr>
            <w:tcW w:type="dxa" w:w="1408"/>
            <w:vAlign w:val="center"/>
          </w:tcPr>
          <w:p>
            <w:r>
              <w:rPr>
                <w:sz w:val="17"/>
              </w:rPr>
              <w:t>Scoping review</w:t>
            </w:r>
          </w:p>
        </w:tc>
        <w:tc>
          <w:tcPr>
            <w:tcW w:type="dxa" w:w="1408"/>
            <w:vAlign w:val="center"/>
          </w:tcPr>
          <w:p>
            <w:r>
              <w:rPr>
                <w:sz w:val="17"/>
              </w:rPr>
              <w:t>Surveillance intelligence</w:t>
            </w:r>
          </w:p>
        </w:tc>
        <w:tc>
          <w:tcPr>
            <w:tcW w:type="dxa" w:w="1408"/>
            <w:vAlign w:val="center"/>
          </w:tcPr>
          <w:p>
            <w:r>
              <w:rPr>
                <w:sz w:val="17"/>
              </w:rPr>
              <w:t>Maps ML/data analytics from prediction toward actionable risk stratification, forecasting, early warning and decision support; highlights validation/implementation maturity gaps.</w:t>
            </w:r>
          </w:p>
        </w:tc>
        <w:tc>
          <w:tcPr>
            <w:tcW w:type="dxa" w:w="1408"/>
            <w:vAlign w:val="center"/>
          </w:tcPr>
          <w:p>
            <w:r>
              <w:rPr>
                <w:sz w:val="17"/>
              </w:rPr>
              <w:t>https://www.frontiersin.org/journals/public-health/articles/10.3389/fpubh.2026.1922265/full</w:t>
            </w:r>
          </w:p>
        </w:tc>
      </w:tr>
    </w:tbl>
    <w:p>
      <w:pPr>
        <w:pStyle w:val="Heading1"/>
      </w:pPr>
      <w:r>
        <w:t>4. Síntese dos resultados</w:t>
      </w:r>
    </w:p>
    <w:p>
      <w:pPr>
        <w:pStyle w:val="Heading2"/>
      </w:pPr>
      <w:r>
        <w:t>4.1 Evolução temporal e maturidade</w:t>
      </w:r>
    </w:p>
    <w:p>
      <w:r>
        <w:t>O corpus mostra aceleração clara após 2022. Os estudos mais recentes deslocam o foco de modelos isolados para plataformas, integração de dados, interpretabilidade, dashboards e inteligência operacional. Em 2025-2026 surgem revisões que tratam explicitamente da passagem de “surveillance” para “surveillance intelligence”, isto é, transformar previsão em informação acionável para decisão.</w:t>
      </w:r>
    </w:p>
    <w:p>
      <w:pPr>
        <w:pStyle w:val="Heading2"/>
      </w:pPr>
      <w:r>
        <w:t>4.2 RQ1/RQ2 - IA e aprendizado de máquina</w:t>
      </w:r>
    </w:p>
    <w:p>
      <w:r>
        <w:t>As aplicações predominantes são previsão de incidência, alerta precoce, classificação, estratificação de risco e detecção de padrões. A revisão de Villanueva-Miranda et al. identificou 67 estudos e apontou ML, DL e NLP como técnicas predominantes, combinando dados epidemiológicos, web, clima e águas residuais. Estudos de rabies, Lyme e múltiplas zoonoses reforçam a utilidade de modelos preditivos, mas também mostram que não existe um único algoritmo superior em todos os cenários. Isso sustenta a decisão arquitetural de separar o pipeline de dados do modelo, permitir comparação de algoritmos e registrar incerteza e versão.</w:t>
      </w:r>
    </w:p>
    <w:p>
      <w:pPr>
        <w:pStyle w:val="Heading2"/>
      </w:pPr>
      <w:r>
        <w:t>4.3 RQ3 - GeoAI e vigilância territorial</w:t>
      </w:r>
    </w:p>
    <w:p>
      <w:r>
        <w:t>A revisão sistemática de hotspot zoonótico em perspectiva One Health demonstra crescimento de modelos espaciais que combinam GIS, sensoriamento remoto e ML. Estudos primários recentes aplicam kriging, MLP e CNN para mapear risco. Para o EDI, isso implica: armazenamento PostGIS; camadas com origem e resolução; distinção entre ponto observado, superfície estimada e hotspot; visualização de incerteza; e validação espacial/temporal antes de uso operacional.</w:t>
      </w:r>
    </w:p>
    <w:p>
      <w:pPr>
        <w:pStyle w:val="Heading2"/>
      </w:pPr>
      <w:r>
        <w:t>4.4 RQ4 - Chatbots e comunicação pública</w:t>
      </w:r>
    </w:p>
    <w:p>
      <w:r>
        <w:t>O scoping review de Wilson e Marasoiu recuperou 1.506 estudos e incluiu 32, concluindo que chatbots são promissores para tarefas repetitivas e automatizáveis, mas que a evidência de eficácia em saúde pública ainda é limitada e que aspectos clínicos, legais, éticos e de experiência do usuário precisam ser tratados. A revisão de ensaios randomizados de Li et al. também aponta viabilidade e aceitabilidade, com resultados heterogêneos. Para a UVZ, a arquitetura recomendada é um agente informacional de escopo controlado, RAG/base validada, fonte/citação, fallback e encaminhamento humano.</w:t>
      </w:r>
    </w:p>
    <w:p>
      <w:pPr>
        <w:pStyle w:val="Heading2"/>
      </w:pPr>
      <w:r>
        <w:t>4.5 RQ5 - Plataformas e interoperabilidade One Health</w:t>
      </w:r>
    </w:p>
    <w:p>
      <w:r>
        <w:t>Os casos da Suíça, França, Quênia e Malawi mostram que interoperabilidade é tanto organizacional quanto técnica. Metadados, governança, padrões de intercâmbio, responsabilidades, mecanismos de coordenação e monitoramento são requisitos estruturais. O caso de Foz do Iguaçu é especialmente relevante ao contexto brasileiro: descreve transição de armazenamento em papel e equipes setorizadas para digitalização, capacitação e integração sob One Health, alinhando-se fortemente ao problema original do EDI.</w:t>
      </w:r>
    </w:p>
    <w:p>
      <w:pPr>
        <w:pStyle w:val="Heading2"/>
      </w:pPr>
      <w:r>
        <w:t>4.6 RQ6 - Riscos recorrentes</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Pr>
          <w:p>
            <w:r>
              <w:rPr>
                <w:b/>
              </w:rPr>
              <w:t>Risco</w:t>
            </w:r>
          </w:p>
        </w:tc>
        <w:tc>
          <w:tcPr>
            <w:tcW w:type="dxa" w:w="3286"/>
            <w:shd w:fill="D9EAF7"/>
          </w:tcPr>
          <w:p>
            <w:r>
              <w:rPr>
                <w:b/>
              </w:rPr>
              <w:t>Evidência recorrente</w:t>
            </w:r>
          </w:p>
        </w:tc>
        <w:tc>
          <w:tcPr>
            <w:tcW w:type="dxa" w:w="3286"/>
            <w:shd w:fill="D9EAF7"/>
          </w:tcPr>
          <w:p>
            <w:r>
              <w:rPr>
                <w:b/>
              </w:rPr>
              <w:t>Resposta arquitetural no EDI</w:t>
            </w:r>
          </w:p>
        </w:tc>
      </w:tr>
      <w:tr>
        <w:tc>
          <w:tcPr>
            <w:tcW w:type="dxa" w:w="3286"/>
            <w:vAlign w:val="center"/>
          </w:tcPr>
          <w:p>
            <w:r>
              <w:rPr>
                <w:sz w:val="17"/>
              </w:rPr>
              <w:t>Qualidade e viés de dados</w:t>
            </w:r>
          </w:p>
        </w:tc>
        <w:tc>
          <w:tcPr>
            <w:tcW w:type="dxa" w:w="3286"/>
            <w:vAlign w:val="center"/>
          </w:tcPr>
          <w:p>
            <w:r>
              <w:rPr>
                <w:sz w:val="17"/>
              </w:rPr>
              <w:t>revisões de IA e plataformas</w:t>
            </w:r>
          </w:p>
        </w:tc>
        <w:tc>
          <w:tcPr>
            <w:tcW w:type="dxa" w:w="3286"/>
            <w:vAlign w:val="center"/>
          </w:tcPr>
          <w:p>
            <w:r>
              <w:rPr>
                <w:sz w:val="17"/>
              </w:rPr>
              <w:t>data contracts, validação, proveniência, score de qualidade, observabilidade</w:t>
            </w:r>
          </w:p>
        </w:tc>
      </w:tr>
      <w:tr>
        <w:tc>
          <w:tcPr>
            <w:tcW w:type="dxa" w:w="3286"/>
            <w:vAlign w:val="center"/>
          </w:tcPr>
          <w:p>
            <w:r>
              <w:rPr>
                <w:sz w:val="17"/>
              </w:rPr>
              <w:t>Baixa interoperabilidade</w:t>
            </w:r>
          </w:p>
        </w:tc>
        <w:tc>
          <w:tcPr>
            <w:tcW w:type="dxa" w:w="3286"/>
            <w:vAlign w:val="center"/>
          </w:tcPr>
          <w:p>
            <w:r>
              <w:rPr>
                <w:sz w:val="17"/>
              </w:rPr>
              <w:t>One Health platforms e WHO SIS</w:t>
            </w:r>
          </w:p>
        </w:tc>
        <w:tc>
          <w:tcPr>
            <w:tcW w:type="dxa" w:w="3286"/>
            <w:vAlign w:val="center"/>
          </w:tcPr>
          <w:p>
            <w:r>
              <w:rPr>
                <w:sz w:val="17"/>
              </w:rPr>
              <w:t>API, padrões, identificadores, catálogo de dados, governança</w:t>
            </w:r>
          </w:p>
        </w:tc>
      </w:tr>
      <w:tr>
        <w:tc>
          <w:tcPr>
            <w:tcW w:type="dxa" w:w="3286"/>
            <w:vAlign w:val="center"/>
          </w:tcPr>
          <w:p>
            <w:r>
              <w:rPr>
                <w:sz w:val="17"/>
              </w:rPr>
              <w:t>Black box / transparência</w:t>
            </w:r>
          </w:p>
        </w:tc>
        <w:tc>
          <w:tcPr>
            <w:tcW w:type="dxa" w:w="3286"/>
            <w:vAlign w:val="center"/>
          </w:tcPr>
          <w:p>
            <w:r>
              <w:rPr>
                <w:sz w:val="17"/>
              </w:rPr>
              <w:t>IA early warning e surveillance intelligence</w:t>
            </w:r>
          </w:p>
        </w:tc>
        <w:tc>
          <w:tcPr>
            <w:tcW w:type="dxa" w:w="3286"/>
            <w:vAlign w:val="center"/>
          </w:tcPr>
          <w:p>
            <w:r>
              <w:rPr>
                <w:sz w:val="17"/>
              </w:rPr>
              <w:t>model cards, explicabilidade, incerteza, revisão humana</w:t>
            </w:r>
          </w:p>
        </w:tc>
      </w:tr>
      <w:tr>
        <w:tc>
          <w:tcPr>
            <w:tcW w:type="dxa" w:w="3286"/>
            <w:vAlign w:val="center"/>
          </w:tcPr>
          <w:p>
            <w:r>
              <w:rPr>
                <w:sz w:val="17"/>
              </w:rPr>
              <w:t>Privacidade e ética</w:t>
            </w:r>
          </w:p>
        </w:tc>
        <w:tc>
          <w:tcPr>
            <w:tcW w:type="dxa" w:w="3286"/>
            <w:vAlign w:val="center"/>
          </w:tcPr>
          <w:p>
            <w:r>
              <w:rPr>
                <w:sz w:val="17"/>
              </w:rPr>
              <w:t>chatbots/IA em saúde</w:t>
            </w:r>
          </w:p>
        </w:tc>
        <w:tc>
          <w:tcPr>
            <w:tcW w:type="dxa" w:w="3286"/>
            <w:vAlign w:val="center"/>
          </w:tcPr>
          <w:p>
            <w:r>
              <w:rPr>
                <w:sz w:val="17"/>
              </w:rPr>
              <w:t>minimização, RBAC/ABAC, logs, DPIA/RIPD, segregação de dados</w:t>
            </w:r>
          </w:p>
        </w:tc>
      </w:tr>
      <w:tr>
        <w:tc>
          <w:tcPr>
            <w:tcW w:type="dxa" w:w="3286"/>
            <w:vAlign w:val="center"/>
          </w:tcPr>
          <w:p>
            <w:r>
              <w:rPr>
                <w:sz w:val="17"/>
              </w:rPr>
              <w:t>Falsa precisão espacial</w:t>
            </w:r>
          </w:p>
        </w:tc>
        <w:tc>
          <w:tcPr>
            <w:tcW w:type="dxa" w:w="3286"/>
            <w:vAlign w:val="center"/>
          </w:tcPr>
          <w:p>
            <w:r>
              <w:rPr>
                <w:sz w:val="17"/>
              </w:rPr>
              <w:t>GeoAI / hotspots</w:t>
            </w:r>
          </w:p>
        </w:tc>
        <w:tc>
          <w:tcPr>
            <w:tcW w:type="dxa" w:w="3286"/>
            <w:vAlign w:val="center"/>
          </w:tcPr>
          <w:p>
            <w:r>
              <w:rPr>
                <w:sz w:val="17"/>
              </w:rPr>
              <w:t>camada de incerteza, metadados, escala adequada, validação geográfica</w:t>
            </w:r>
          </w:p>
        </w:tc>
      </w:tr>
      <w:tr>
        <w:tc>
          <w:tcPr>
            <w:tcW w:type="dxa" w:w="3286"/>
            <w:vAlign w:val="center"/>
          </w:tcPr>
          <w:p>
            <w:r>
              <w:rPr>
                <w:sz w:val="17"/>
              </w:rPr>
              <w:t>Baixa adoção</w:t>
            </w:r>
          </w:p>
        </w:tc>
        <w:tc>
          <w:tcPr>
            <w:tcW w:type="dxa" w:w="3286"/>
            <w:vAlign w:val="center"/>
          </w:tcPr>
          <w:p>
            <w:r>
              <w:rPr>
                <w:sz w:val="17"/>
              </w:rPr>
              <w:t>estudos de implementação</w:t>
            </w:r>
          </w:p>
        </w:tc>
        <w:tc>
          <w:tcPr>
            <w:tcW w:type="dxa" w:w="3286"/>
            <w:vAlign w:val="center"/>
          </w:tcPr>
          <w:p>
            <w:r>
              <w:rPr>
                <w:sz w:val="17"/>
              </w:rPr>
              <w:t>co-design, treinamento, UX, feedback, suporte</w:t>
            </w:r>
          </w:p>
        </w:tc>
      </w:tr>
      <w:tr>
        <w:tc>
          <w:tcPr>
            <w:tcW w:type="dxa" w:w="3286"/>
            <w:vAlign w:val="center"/>
          </w:tcPr>
          <w:p>
            <w:r>
              <w:rPr>
                <w:sz w:val="17"/>
              </w:rPr>
              <w:t>Dependência tecnológica</w:t>
            </w:r>
          </w:p>
        </w:tc>
        <w:tc>
          <w:tcPr>
            <w:tcW w:type="dxa" w:w="3286"/>
            <w:vAlign w:val="center"/>
          </w:tcPr>
          <w:p>
            <w:r>
              <w:rPr>
                <w:sz w:val="17"/>
              </w:rPr>
              <w:t>plataformas digitais</w:t>
            </w:r>
          </w:p>
        </w:tc>
        <w:tc>
          <w:tcPr>
            <w:tcW w:type="dxa" w:w="3286"/>
            <w:vAlign w:val="center"/>
          </w:tcPr>
          <w:p>
            <w:r>
              <w:rPr>
                <w:sz w:val="17"/>
              </w:rPr>
              <w:t>arquitetura modular, padrões abertos, backup/exportação, abstração de provedor</w:t>
            </w:r>
          </w:p>
        </w:tc>
      </w:tr>
    </w:tbl>
    <w:p>
      <w:pPr>
        <w:pStyle w:val="Heading2"/>
      </w:pPr>
      <w:r>
        <w:t>4.7 RQ7 - Métricas recomendadas</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Pr>
          <w:p>
            <w:r>
              <w:rPr>
                <w:b/>
              </w:rPr>
              <w:t>Módulo</w:t>
            </w:r>
          </w:p>
        </w:tc>
        <w:tc>
          <w:tcPr>
            <w:tcW w:type="dxa" w:w="3286"/>
            <w:shd w:fill="D9EAF7"/>
          </w:tcPr>
          <w:p>
            <w:r>
              <w:rPr>
                <w:b/>
              </w:rPr>
              <w:t>Métricas mínimas</w:t>
            </w:r>
          </w:p>
        </w:tc>
        <w:tc>
          <w:tcPr>
            <w:tcW w:type="dxa" w:w="3286"/>
            <w:shd w:fill="D9EAF7"/>
          </w:tcPr>
          <w:p>
            <w:r>
              <w:rPr>
                <w:b/>
              </w:rPr>
              <w:t>Métricas avançadas</w:t>
            </w:r>
          </w:p>
        </w:tc>
      </w:tr>
      <w:tr>
        <w:tc>
          <w:tcPr>
            <w:tcW w:type="dxa" w:w="3286"/>
            <w:vAlign w:val="center"/>
          </w:tcPr>
          <w:p>
            <w:r>
              <w:rPr>
                <w:sz w:val="17"/>
              </w:rPr>
              <w:t>Dados</w:t>
            </w:r>
          </w:p>
        </w:tc>
        <w:tc>
          <w:tcPr>
            <w:tcW w:type="dxa" w:w="3286"/>
            <w:vAlign w:val="center"/>
          </w:tcPr>
          <w:p>
            <w:r>
              <w:rPr>
                <w:sz w:val="17"/>
              </w:rPr>
              <w:t>completude, validade, duplicidade, atualização</w:t>
            </w:r>
          </w:p>
        </w:tc>
        <w:tc>
          <w:tcPr>
            <w:tcW w:type="dxa" w:w="3286"/>
            <w:vAlign w:val="center"/>
          </w:tcPr>
          <w:p>
            <w:r>
              <w:rPr>
                <w:sz w:val="17"/>
              </w:rPr>
              <w:t>proveniência, drift, consistência intersistemas</w:t>
            </w:r>
          </w:p>
        </w:tc>
      </w:tr>
      <w:tr>
        <w:tc>
          <w:tcPr>
            <w:tcW w:type="dxa" w:w="3286"/>
            <w:vAlign w:val="center"/>
          </w:tcPr>
          <w:p>
            <w:r>
              <w:rPr>
                <w:sz w:val="17"/>
              </w:rPr>
              <w:t>OCR</w:t>
            </w:r>
          </w:p>
        </w:tc>
        <w:tc>
          <w:tcPr>
            <w:tcW w:type="dxa" w:w="3286"/>
            <w:vAlign w:val="center"/>
          </w:tcPr>
          <w:p>
            <w:r>
              <w:rPr>
                <w:sz w:val="17"/>
              </w:rPr>
              <w:t>acurácia por campo, CER/WER, taxa de revisão</w:t>
            </w:r>
          </w:p>
        </w:tc>
        <w:tc>
          <w:tcPr>
            <w:tcW w:type="dxa" w:w="3286"/>
            <w:vAlign w:val="center"/>
          </w:tcPr>
          <w:p>
            <w:r>
              <w:rPr>
                <w:sz w:val="17"/>
              </w:rPr>
              <w:t>tempo economizado, erro residual após revisão</w:t>
            </w:r>
          </w:p>
        </w:tc>
      </w:tr>
      <w:tr>
        <w:tc>
          <w:tcPr>
            <w:tcW w:type="dxa" w:w="3286"/>
            <w:vAlign w:val="center"/>
          </w:tcPr>
          <w:p>
            <w:r>
              <w:rPr>
                <w:sz w:val="17"/>
              </w:rPr>
              <w:t>Chatbot</w:t>
            </w:r>
          </w:p>
        </w:tc>
        <w:tc>
          <w:tcPr>
            <w:tcW w:type="dxa" w:w="3286"/>
            <w:vAlign w:val="center"/>
          </w:tcPr>
          <w:p>
            <w:r>
              <w:rPr>
                <w:sz w:val="17"/>
              </w:rPr>
              <w:t>intenção correta, fallback, latência, resolução</w:t>
            </w:r>
          </w:p>
        </w:tc>
        <w:tc>
          <w:tcPr>
            <w:tcW w:type="dxa" w:w="3286"/>
            <w:vAlign w:val="center"/>
          </w:tcPr>
          <w:p>
            <w:r>
              <w:rPr>
                <w:sz w:val="17"/>
              </w:rPr>
              <w:t>factualidade, cobertura de fonte, satisfação, segurança</w:t>
            </w:r>
          </w:p>
        </w:tc>
      </w:tr>
      <w:tr>
        <w:tc>
          <w:tcPr>
            <w:tcW w:type="dxa" w:w="3286"/>
            <w:vAlign w:val="center"/>
          </w:tcPr>
          <w:p>
            <w:r>
              <w:rPr>
                <w:sz w:val="17"/>
              </w:rPr>
              <w:t>Mapa/GeoAI</w:t>
            </w:r>
          </w:p>
        </w:tc>
        <w:tc>
          <w:tcPr>
            <w:tcW w:type="dxa" w:w="3286"/>
            <w:vAlign w:val="center"/>
          </w:tcPr>
          <w:p>
            <w:r>
              <w:rPr>
                <w:sz w:val="17"/>
              </w:rPr>
              <w:t>completude geográfica, erro de geocodificação</w:t>
            </w:r>
          </w:p>
        </w:tc>
        <w:tc>
          <w:tcPr>
            <w:tcW w:type="dxa" w:w="3286"/>
            <w:vAlign w:val="center"/>
          </w:tcPr>
          <w:p>
            <w:r>
              <w:rPr>
                <w:sz w:val="17"/>
              </w:rPr>
              <w:t>AUC espacial, calibração, validação espaço-temporal</w:t>
            </w:r>
          </w:p>
        </w:tc>
      </w:tr>
      <w:tr>
        <w:tc>
          <w:tcPr>
            <w:tcW w:type="dxa" w:w="3286"/>
            <w:vAlign w:val="center"/>
          </w:tcPr>
          <w:p>
            <w:r>
              <w:rPr>
                <w:sz w:val="17"/>
              </w:rPr>
              <w:t>Dashboard</w:t>
            </w:r>
          </w:p>
        </w:tc>
        <w:tc>
          <w:tcPr>
            <w:tcW w:type="dxa" w:w="3286"/>
            <w:vAlign w:val="center"/>
          </w:tcPr>
          <w:p>
            <w:r>
              <w:rPr>
                <w:sz w:val="17"/>
              </w:rPr>
              <w:t>tempo para tarefa, erros, SUS</w:t>
            </w:r>
          </w:p>
        </w:tc>
        <w:tc>
          <w:tcPr>
            <w:tcW w:type="dxa" w:w="3286"/>
            <w:vAlign w:val="center"/>
          </w:tcPr>
          <w:p>
            <w:r>
              <w:rPr>
                <w:sz w:val="17"/>
              </w:rPr>
              <w:t>uso de filtros, decisão assistida, utilidade percebida</w:t>
            </w:r>
          </w:p>
        </w:tc>
      </w:tr>
      <w:tr>
        <w:tc>
          <w:tcPr>
            <w:tcW w:type="dxa" w:w="3286"/>
            <w:vAlign w:val="center"/>
          </w:tcPr>
          <w:p>
            <w:r>
              <w:rPr>
                <w:sz w:val="17"/>
              </w:rPr>
              <w:t>Sistema</w:t>
            </w:r>
          </w:p>
        </w:tc>
        <w:tc>
          <w:tcPr>
            <w:tcW w:type="dxa" w:w="3286"/>
            <w:vAlign w:val="center"/>
          </w:tcPr>
          <w:p>
            <w:r>
              <w:rPr>
                <w:sz w:val="17"/>
              </w:rPr>
              <w:t>disponibilidade, erro, latência, incidentes</w:t>
            </w:r>
          </w:p>
        </w:tc>
        <w:tc>
          <w:tcPr>
            <w:tcW w:type="dxa" w:w="3286"/>
            <w:vAlign w:val="center"/>
          </w:tcPr>
          <w:p>
            <w:r>
              <w:rPr>
                <w:sz w:val="17"/>
              </w:rPr>
              <w:t>SLO/SLA, RTO/RPO, segurança, custo operacional</w:t>
            </w:r>
          </w:p>
        </w:tc>
      </w:tr>
    </w:tbl>
    <w:p>
      <w:pPr>
        <w:pStyle w:val="Heading1"/>
      </w:pPr>
      <w:r>
        <w:t>5. Discussão</w:t>
      </w:r>
    </w:p>
    <w:p>
      <w:r>
        <w:t>A síntese sugere que o EDI deve ser concebido como infraestrutura de “surveillance intelligence”. Um dashboard sem governança produz visualização; um modelo sem validação produz apenas previsão; um chatbot sem base controlada produz risco; um mapa sem metadados produz falsa precisão. O ecossistema se torna cientificamente defensável quando conecta coleta, validação, integração, análise, explicação, decisão e feedback em um ciclo auditável.</w:t>
      </w:r>
    </w:p>
    <w:p>
      <w:r>
        <w:t>O modelo do projeto é consistente com a literatura contemporânea em três aspectos. Primeiro, integra digitalização e operação, reduzindo a distância entre documento e dado. Segundo, combina informação tabular e territorial. Terceiro, reconhece o atendimento digital como parte da vigilância informacional. A V2 fortalece esses pontos adicionando catálogo de dados, qualidade, auditoria, governança de IA, segurança, model cards e métricas de implantação.</w:t>
      </w:r>
    </w:p>
    <w:p>
      <w:pPr>
        <w:pStyle w:val="Heading1"/>
      </w:pPr>
      <w:r>
        <w:t>6. Lacunas e agenda de pesquisa</w:t>
      </w:r>
    </w:p>
    <w:p>
      <w:pPr>
        <w:pStyle w:val="ListBullet"/>
      </w:pPr>
      <w:r>
        <w:t>avaliar ecossistemas integrados em contexto municipal brasileiro, e não apenas modelos isolados; medir ganho operacional real após digitalização/OCR; investigar explicabilidade de risco espacial para equipes de campo; avaliar agentes conversacionais de saúde pública com base institucional versionada; testar interoperabilidade com sistemas oficiais sem replicação desnecessária de dados; estudar qualidade, completude e timeliness como mediadores do impacto; comparar arquitetura centralizada versus federada para dados One Health.</w:t>
      </w:r>
    </w:p>
    <w:p>
      <w:pPr>
        <w:pStyle w:val="Heading1"/>
      </w:pPr>
      <w:r>
        <w:t>7. Ameaças à validade</w:t>
      </w:r>
    </w:p>
    <w:p>
      <w:r>
        <w:t>Validade de construção: os conceitos “One Health”, “vigilância”, “IA” e “plataforma” são usados de forma heterogênea. Mitigação: definição explícita dos eixos e extração padronizada. Validade de seleção: a atualização de encerramento não constitui exportação integral de bases fechadas; portanto, não se afirma exaustividade bibliométrica. Mitigação: protocolo replicável e corpus verificado. Validade externa: estudos internacionais podem operar sob sistemas de saúde e dados diferentes do SUS. Mitigação: interpretação como evidência de engenharia e vigilância, não transferência direta de efeito. Validade de conclusão: desempenho de modelos em datasets específicos não implica efetividade operacional. Mitigação: separar métricas técnicas de métricas de impacto e exigir piloto.</w:t>
      </w:r>
    </w:p>
    <w:p>
      <w:pPr>
        <w:pStyle w:val="Heading1"/>
      </w:pPr>
      <w:r>
        <w:t>8. Conclusão</w:t>
      </w:r>
    </w:p>
    <w:p>
      <w:r>
        <w:t>A literatura sustenta o desenvolvimento de um ecossistema integrado para vigilância de zoonoses, mas não sustenta uma abordagem de “IA por si só”. Sistemas efetivos combinam dados de qualidade, interoperabilidade, geoprocessamento, análise, governança e pessoas. A contribuição científica do EDI está justamente em articular esses componentes em um fluxo municipal rastreável, oferecendo base para experimentação futura e para estudos de impacto após implantação.</w:t>
      </w:r>
    </w:p>
    <w:p>
      <w:pPr>
        <w:pStyle w:val="Heading1"/>
      </w:pPr>
      <w:r>
        <w:t>Referências principais verificadas</w:t>
      </w:r>
    </w:p>
    <w:p>
      <w:r>
        <w:t>WHO; FAO; WOAH. Surveillance and information sharing operational tool: an operational tool of the Tripartite Zoonoses Guide. 2022. https://www.who.int/publications/i/item/9789240053250</w:t>
      </w:r>
    </w:p>
    <w:p>
      <w:r>
        <w:t>WHO; FAO; WOAH. Monitoring and evaluation for effective management of zoonotic diseases: an operational tool of the Tripartite Zoonoses Guide. 2024. https://www.who.int/publications/i/item/9789240104006</w:t>
      </w:r>
    </w:p>
    <w:p>
      <w:r>
        <w:t>Filter et al.. One Health Surveillance Codex: promoting the adoption of One Health solutions within and across European countries. 2021. https://pubmed.ncbi.nlm.nih.gov/33786360/</w:t>
      </w:r>
    </w:p>
    <w:p>
      <w:r>
        <w:t>Leandro et al.. The adoption of the One Health approach to improve surveillance of venomous animal injury, vector-borne and zoonotic diseases in Foz do Iguaçu, Brazil. 2021. https://pubmed.ncbi.nlm.nih.gov/33600424/</w:t>
      </w:r>
    </w:p>
    <w:p>
      <w:r>
        <w:t>Keshavamurthy et al.. Predicting infectious disease for biopreparedness and response: A systematic review of machine learning and deep learning approaches. 2022. https://pubmed.ncbi.nlm.nih.gov/36277100/</w:t>
      </w:r>
    </w:p>
    <w:p>
      <w:r>
        <w:t>Wilson; Marasoiu. The Development and Use of Chatbots in Public Health: Scoping Review. 2022. https://humanfactors.jmir.org/2022/4/e35882/</w:t>
      </w:r>
    </w:p>
    <w:p>
      <w:r>
        <w:t>Neves et al.. The Swiss Pathogen Surveillance Platform - towards a nation-wide One Health data exchange platform for bacterial, viral and fungal genomics and associated metadata. 2023. https://pubmed.ncbi.nlm.nih.gov/37171846/</w:t>
      </w:r>
    </w:p>
    <w:p>
      <w:r>
        <w:t>Li et al.. Feasibility and effectiveness of artificial intelligence-driven conversational agents in healthcare interventions: A systematic review of randomized controlled trials. 2023. https://pubmed.ncbi.nlm.nih.gov/37146391/</w:t>
      </w:r>
    </w:p>
    <w:p>
      <w:r>
        <w:t>Kibenge. Continuous surveillance and viral discovery in animals and humans are a core component of a one-health approach to address recent viral reverse zoonoses. 2023. https://pubmed.ncbi.nlm.nih.gov/37072119/</w:t>
      </w:r>
    </w:p>
    <w:p>
      <w:r>
        <w:t>Dupuy et al.. The French National Animal Health Surveillance Platform: an innovative, cross-sector collaboration to improve surveillance system efficiency in France and a tangible example of the One Health approach. 2024. https://pubmed.ncbi.nlm.nih.gov/39234170/</w:t>
      </w:r>
    </w:p>
    <w:p>
      <w:r>
        <w:t>Kenya OHAMRS authors. Progress made in digitalizing antimicrobial resistance surveillance in a One Health approach in Kenya. 2024. https://pubmed.ncbi.nlm.nih.gov/39435404/</w:t>
      </w:r>
    </w:p>
    <w:p>
      <w:r>
        <w:t>Clinical documentation review authors. Improving Clinical Documentation with Artificial Intelligence: A Systematic Review. 2024. https://pmc.ncbi.nlm.nih.gov/articles/PMC11605373/</w:t>
      </w:r>
    </w:p>
    <w:p>
      <w:r>
        <w:t>Villanueva-Miranda; Xiao; Xie. Artificial intelligence in early warning systems for infectious disease surveillance: a systematic review. 2025. https://www.frontiersin.org/journals/public-health/articles/10.3389/fpubh.2025.1609615/full</w:t>
      </w:r>
    </w:p>
    <w:p>
      <w:r>
        <w:t>AI public-health review authors. Artificial intelligence in epidemic watch: revolutionizing infectious diseases surveillance. 2025. https://www.frontiersin.org/journals/digital-health/articles/10.3389/fdgth.2025.1692617/full</w:t>
      </w:r>
    </w:p>
    <w:p>
      <w:r>
        <w:t>Rabies Morocco authors. Contribution of artificial intelligence for understanding animal rabies epidemiology in Morocco. 2024. https://pubmed.ncbi.nlm.nih.gov/39247759/</w:t>
      </w:r>
    </w:p>
    <w:p>
      <w:r>
        <w:t>Global forecasting framework authors. Meeting Global Health Needs via Infectious Disease Forecasting: Development of a Reliable Data-Driven Framework. 2025. https://pubmed.ncbi.nlm.nih.gov/40116728/</w:t>
      </w:r>
    </w:p>
    <w:p>
      <w:r>
        <w:t>Berke et al.. Of Lyme disease and machine learning in a One Health world. 2025. https://pubmed.ncbi.nlm.nih.gov/39933253/</w:t>
      </w:r>
    </w:p>
    <w:p>
      <w:r>
        <w:t>Guinea One Health authors. Performance of the One Health platform in zoonotic disease surveillance in Guinea. 2025. https://pubmed.ncbi.nlm.nih.gov/41048283/</w:t>
      </w:r>
    </w:p>
    <w:p>
      <w:r>
        <w:t>Lokonon et al.. The use of artificial intelligence based modelling techniques in One Health-related infectious disease studies in Sub-Saharan Africa: a review. 2026. https://pubmed.ncbi.nlm.nih.gov/42099707/</w:t>
      </w:r>
    </w:p>
    <w:p>
      <w:r>
        <w:t>Geospatial One Health review authors. Geospatial modelling for zoonotic disease hotspot identification within a One Health framework: a systematic review. 2026. https://pubmed.ncbi.nlm.nih.gov/41593751/</w:t>
      </w:r>
    </w:p>
    <w:p>
      <w:r>
        <w:t>Malawi OHSP authors. Establishing One Health Surveillance Platform for Electronic Integrated Disease Surveillance and Response in Malawi: Action Design Research Study. 2026. https://pubmed.ncbi.nlm.nih.gov/41587449/</w:t>
      </w:r>
    </w:p>
    <w:p>
      <w:r>
        <w:t>ZCL GeoAI authors. GIS-based neural network framework for zoonotic cutaneous leishmaniasis risk mapping in Western Iran. 2026. https://pubmed.ncbi.nlm.nih.gov/41886101/</w:t>
      </w:r>
    </w:p>
    <w:p>
      <w:r>
        <w:t>Parai et al.. Development of One Health-based community surveillance system to study zoonotic diseases: a study protocol. 2026. https://pubmed.ncbi.nlm.nih.gov/41613062/</w:t>
      </w:r>
    </w:p>
    <w:p>
      <w:r>
        <w:t>Rabbani et al.. From surveillance to intelligence: a scoping review of machine learning for antimicrobial resistance surveillance intelligence across One Health. 2026. https://www.frontiersin.org/journals/public-health/articles/10.3389/fpubh.2026.1922265/full</w:t>
      </w:r>
    </w:p>
    <w:p>
      <w:r>
        <w:t>KITCHENHAM, B. Procedures for Performing Systematic Reviews. Keele University Technical Report, 2004.</w:t>
      </w:r>
    </w:p>
    <w:p>
      <w:r>
        <w:t>PETERSEN, K. et al. Guidelines for conducting systematic mapping studies in software engineering: An update. Information and Software Technology, 2015.</w:t>
      </w:r>
    </w:p>
    <w:p>
      <w:r>
        <w:t>PAGE, M. J. et al. The PRISMA 2020 statement. BMJ, 2021.</w:t>
      </w:r>
    </w:p>
    <w:sectPr w:rsidR="00FC693F" w:rsidRPr="0006063C" w:rsidSect="00034616">
      <w:headerReference w:type="default" r:id="rId9"/>
      <w:footerReference w:type="default" r:id="rId10"/>
      <w:pgSz w:w="12240" w:h="15840"/>
      <w:pgMar w:top="964" w:right="1134"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IFMT - Campus Várzea Grande | Ecossistema Zoonoses | Encerramento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