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4"/>
        </w:rPr>
        <w:t>IFMT</w:t>
        <w:br/>
      </w:r>
      <w:r>
        <w:rPr>
          <w:b/>
          <w:color w:val="17365D"/>
          <w:sz w:val="44"/>
        </w:rPr>
        <w:t>Plano Mestre de Testes, QA e Validação - V2</w:t>
      </w:r>
    </w:p>
    <w:p>
      <w:pPr>
        <w:jc w:val="center"/>
      </w:pPr>
      <w:r>
        <w:rPr>
          <w:color w:val="505050"/>
          <w:sz w:val="24"/>
        </w:rPr>
        <w:t>Funcional, integração, segurança, dados, IA, usabilidade e aceite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Projeto</w:t>
            </w:r>
          </w:p>
        </w:tc>
        <w:tc>
          <w:tcPr>
            <w:tcW w:type="dxa" w:w="4929"/>
          </w:tcPr>
          <w:p>
            <w:r>
              <w:t>Ecossistema Digital Integrado com Inteligência Artificial para Modernizar a Vigilância em Zoonoses: Gestão Territorial e Análise de Dados</w:t>
            </w:r>
          </w:p>
        </w:tc>
      </w:tr>
      <w:tr>
        <w:tc>
          <w:tcPr>
            <w:tcW w:type="dxa" w:w="4929"/>
            <w:shd w:fill="D9EAF7"/>
          </w:tcPr>
          <w:p>
            <w:r>
              <w:rPr>
                <w:b/>
              </w:rPr>
              <w:t>Coordenador</w:t>
            </w:r>
          </w:p>
        </w:tc>
        <w:tc>
          <w:tcPr>
            <w:tcW w:type="dxa" w:w="4929"/>
          </w:tcPr>
          <w:p>
            <w:r>
              <w:t>Carlos Gracioli Neto</w:t>
            </w:r>
          </w:p>
        </w:tc>
      </w:tr>
      <w:tr>
        <w:tc>
          <w:tcPr>
            <w:tcW w:type="dxa" w:w="4929"/>
            <w:shd w:fill="D9EAF7"/>
          </w:tcPr>
          <w:p>
            <w:r>
              <w:rPr>
                <w:b/>
              </w:rPr>
              <w:t>Instituição</w:t>
            </w:r>
          </w:p>
        </w:tc>
        <w:tc>
          <w:tcPr>
            <w:tcW w:type="dxa" w:w="4929"/>
          </w:tcPr>
          <w:p>
            <w:r>
              <w:t>Instituto Federal de Educação, Ciência e Tecnologia de Mato Grosso - IFMT - Campus Várzea Grande</w:t>
            </w:r>
          </w:p>
        </w:tc>
      </w:tr>
      <w:tr>
        <w:tc>
          <w:tcPr>
            <w:tcW w:type="dxa" w:w="4929"/>
            <w:shd w:fill="D9EAF7"/>
          </w:tcPr>
          <w:p>
            <w:r>
              <w:rPr>
                <w:b/>
              </w:rPr>
              <w:t>Período</w:t>
            </w:r>
          </w:p>
        </w:tc>
        <w:tc>
          <w:tcPr>
            <w:tcW w:type="dxa" w:w="4929"/>
          </w:tcPr>
          <w:p>
            <w:r>
              <w:t>01/09/2025 a 31/08/2026</w:t>
            </w:r>
          </w:p>
        </w:tc>
      </w:tr>
    </w:tbl>
    <w:p>
      <w:r>
        <w:br w:type="page"/>
      </w:r>
    </w:p>
    <w:p>
      <w:pPr>
        <w:pStyle w:val="Heading1"/>
      </w:pPr>
      <w:r>
        <w:t>1. Pirâmide de testes</w:t>
      </w:r>
    </w:p>
    <w:p>
      <w:pPr>
        <w:pStyle w:val="ListBullet"/>
      </w:pPr>
      <w:r>
        <w:t>unitários para domínio/validações; integração para API+banco/storage; contract tests para providers; e2e para fluxos críticos; testes exploratórios; segurança; performance; usabilidade; validação de IA/OCR.</w:t>
      </w:r>
    </w:p>
    <w:p>
      <w:pPr>
        <w:pStyle w:val="Heading1"/>
      </w:pPr>
      <w:r>
        <w:t>2. Casos de teste críticos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type="dxa" w:w="1972"/>
            <w:shd w:fill="D9EAF7"/>
          </w:tcPr>
          <w:p>
            <w:r>
              <w:rPr>
                <w:b/>
              </w:rPr>
              <w:t>ID</w:t>
            </w:r>
          </w:p>
        </w:tc>
        <w:tc>
          <w:tcPr>
            <w:tcW w:type="dxa" w:w="1972"/>
            <w:shd w:fill="D9EAF7"/>
          </w:tcPr>
          <w:p>
            <w:r>
              <w:rPr>
                <w:b/>
              </w:rPr>
              <w:t>Área</w:t>
            </w:r>
          </w:p>
        </w:tc>
        <w:tc>
          <w:tcPr>
            <w:tcW w:type="dxa" w:w="1972"/>
            <w:shd w:fill="D9EAF7"/>
          </w:tcPr>
          <w:p>
            <w:r>
              <w:rPr>
                <w:b/>
              </w:rPr>
              <w:t>Caso</w:t>
            </w:r>
          </w:p>
        </w:tc>
        <w:tc>
          <w:tcPr>
            <w:tcW w:type="dxa" w:w="1972"/>
            <w:shd w:fill="D9EAF7"/>
          </w:tcPr>
          <w:p>
            <w:r>
              <w:rPr>
                <w:b/>
              </w:rPr>
              <w:t>Estratégia</w:t>
            </w:r>
          </w:p>
        </w:tc>
        <w:tc>
          <w:tcPr>
            <w:tcW w:type="dxa" w:w="1972"/>
            <w:shd w:fill="D9EAF7"/>
          </w:tcPr>
          <w:p>
            <w:r>
              <w:rPr>
                <w:b/>
              </w:rPr>
              <w:t>Prioridade</w:t>
            </w:r>
          </w:p>
        </w:tc>
      </w:tr>
      <w:tr>
        <w:tc>
          <w:tcPr>
            <w:tcW w:type="dxa" w:w="1972"/>
            <w:vAlign w:val="center"/>
          </w:tcPr>
          <w:p>
            <w:r>
              <w:rPr>
                <w:sz w:val="17"/>
              </w:rPr>
              <w:t>CT-001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Auth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Login válido/inválido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Automatizar quando viável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1972"/>
            <w:vAlign w:val="center"/>
          </w:tcPr>
          <w:p>
            <w:r>
              <w:rPr>
                <w:sz w:val="17"/>
              </w:rPr>
              <w:t>CT-002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Auth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Rbac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Automatizar quando viável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1972"/>
            <w:vAlign w:val="center"/>
          </w:tcPr>
          <w:p>
            <w:r>
              <w:rPr>
                <w:sz w:val="17"/>
              </w:rPr>
              <w:t>CT-003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Auth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Sessão expirada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Automatizar quando viável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1972"/>
            <w:vAlign w:val="center"/>
          </w:tcPr>
          <w:p>
            <w:r>
              <w:rPr>
                <w:sz w:val="17"/>
              </w:rPr>
              <w:t>CT-004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Ocorrência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Criar, validar obrigatórios, editar, histórico, filtro, paginação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Automatizar quando viável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1972"/>
            <w:vAlign w:val="center"/>
          </w:tcPr>
          <w:p>
            <w:r>
              <w:rPr>
                <w:sz w:val="17"/>
              </w:rPr>
              <w:t>CT-005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Mapa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Novo registro aparece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Automatizar quando viável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P1</w:t>
            </w:r>
          </w:p>
        </w:tc>
      </w:tr>
      <w:tr>
        <w:tc>
          <w:tcPr>
            <w:tcW w:type="dxa" w:w="1972"/>
            <w:vAlign w:val="center"/>
          </w:tcPr>
          <w:p>
            <w:r>
              <w:rPr>
                <w:sz w:val="17"/>
              </w:rPr>
              <w:t>CT-006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Mapa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Filtro territorial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Automatizar quando viável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P1</w:t>
            </w:r>
          </w:p>
        </w:tc>
      </w:tr>
      <w:tr>
        <w:tc>
          <w:tcPr>
            <w:tcW w:type="dxa" w:w="1972"/>
            <w:vAlign w:val="center"/>
          </w:tcPr>
          <w:p>
            <w:r>
              <w:rPr>
                <w:sz w:val="17"/>
              </w:rPr>
              <w:t>CT-007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Mapa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Cluster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Automatizar quando viável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P1</w:t>
            </w:r>
          </w:p>
        </w:tc>
      </w:tr>
      <w:tr>
        <w:tc>
          <w:tcPr>
            <w:tcW w:type="dxa" w:w="1972"/>
            <w:vAlign w:val="center"/>
          </w:tcPr>
          <w:p>
            <w:r>
              <w:rPr>
                <w:sz w:val="17"/>
              </w:rPr>
              <w:t>CT-008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Mapa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Export geojson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Automatizar quando viável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P1</w:t>
            </w:r>
          </w:p>
        </w:tc>
      </w:tr>
      <w:tr>
        <w:tc>
          <w:tcPr>
            <w:tcW w:type="dxa" w:w="1972"/>
            <w:vAlign w:val="center"/>
          </w:tcPr>
          <w:p>
            <w:r>
              <w:rPr>
                <w:sz w:val="17"/>
              </w:rPr>
              <w:t>CT-009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OCR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Arquivo suportado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Automatizar quando viável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1972"/>
            <w:vAlign w:val="center"/>
          </w:tcPr>
          <w:p>
            <w:r>
              <w:rPr>
                <w:sz w:val="17"/>
              </w:rPr>
              <w:t>CT-010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OCR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Arquivo inválido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Automatizar quando viável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1972"/>
            <w:vAlign w:val="center"/>
          </w:tcPr>
          <w:p>
            <w:r>
              <w:rPr>
                <w:sz w:val="17"/>
              </w:rPr>
              <w:t>CT-011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OCR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Job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Automatizar quando viável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1972"/>
            <w:vAlign w:val="center"/>
          </w:tcPr>
          <w:p>
            <w:r>
              <w:rPr>
                <w:sz w:val="17"/>
              </w:rPr>
              <w:t>CT-012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OCR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Revisão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Automatizar quando viável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1972"/>
            <w:vAlign w:val="center"/>
          </w:tcPr>
          <w:p>
            <w:r>
              <w:rPr>
                <w:sz w:val="17"/>
              </w:rPr>
              <w:t>CT-013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OCR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Confiança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Automatizar quando viável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1972"/>
            <w:vAlign w:val="center"/>
          </w:tcPr>
          <w:p>
            <w:r>
              <w:rPr>
                <w:sz w:val="17"/>
              </w:rPr>
              <w:t>CT-014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OCR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Persistência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Automatizar quando viável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1972"/>
            <w:vAlign w:val="center"/>
          </w:tcPr>
          <w:p>
            <w:r>
              <w:rPr>
                <w:sz w:val="17"/>
              </w:rPr>
              <w:t>CT-015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Chatbot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Faq seed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Automatizar quando viável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1972"/>
            <w:vAlign w:val="center"/>
          </w:tcPr>
          <w:p>
            <w:r>
              <w:rPr>
                <w:sz w:val="17"/>
              </w:rPr>
              <w:t>CT-016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Chatbot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Variação linguística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Automatizar quando viável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1972"/>
            <w:vAlign w:val="center"/>
          </w:tcPr>
          <w:p>
            <w:r>
              <w:rPr>
                <w:sz w:val="17"/>
              </w:rPr>
              <w:t>CT-017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Chatbot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Fonte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Automatizar quando viável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1972"/>
            <w:vAlign w:val="center"/>
          </w:tcPr>
          <w:p>
            <w:r>
              <w:rPr>
                <w:sz w:val="17"/>
              </w:rPr>
              <w:t>CT-018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Chatbot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Fallback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Automatizar quando viável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1972"/>
            <w:vAlign w:val="center"/>
          </w:tcPr>
          <w:p>
            <w:r>
              <w:rPr>
                <w:sz w:val="17"/>
              </w:rPr>
              <w:t>CT-019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Chatbot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Prompt injection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Automatizar quando viável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1972"/>
            <w:vAlign w:val="center"/>
          </w:tcPr>
          <w:p>
            <w:r>
              <w:rPr>
                <w:sz w:val="17"/>
              </w:rPr>
              <w:t>CT-020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Chatbot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Contato inexistente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Automatizar quando viável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1972"/>
            <w:vAlign w:val="center"/>
          </w:tcPr>
          <w:p>
            <w:r>
              <w:rPr>
                <w:sz w:val="17"/>
              </w:rPr>
              <w:t>CT-021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Repo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Upload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Automatizar quando viável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1972"/>
            <w:vAlign w:val="center"/>
          </w:tcPr>
          <w:p>
            <w:r>
              <w:rPr>
                <w:sz w:val="17"/>
              </w:rPr>
              <w:t>CT-022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Repo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Hash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Automatizar quando viável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1972"/>
            <w:vAlign w:val="center"/>
          </w:tcPr>
          <w:p>
            <w:r>
              <w:rPr>
                <w:sz w:val="17"/>
              </w:rPr>
              <w:t>CT-023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Repo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Busca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Automatizar quando viável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1972"/>
            <w:vAlign w:val="center"/>
          </w:tcPr>
          <w:p>
            <w:r>
              <w:rPr>
                <w:sz w:val="17"/>
              </w:rPr>
              <w:t>CT-024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Repo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Permissão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Automatizar quando viável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1972"/>
            <w:vAlign w:val="center"/>
          </w:tcPr>
          <w:p>
            <w:r>
              <w:rPr>
                <w:sz w:val="17"/>
              </w:rPr>
              <w:t>CT-025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Repo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Download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Automatizar quando viável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1972"/>
            <w:vAlign w:val="center"/>
          </w:tcPr>
          <w:p>
            <w:r>
              <w:rPr>
                <w:sz w:val="17"/>
              </w:rPr>
              <w:t>CT-026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Repo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Vínculo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Automatizar quando viável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1972"/>
            <w:vAlign w:val="center"/>
          </w:tcPr>
          <w:p>
            <w:r>
              <w:rPr>
                <w:sz w:val="17"/>
              </w:rPr>
              <w:t>CT-027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Dashboard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Kpis batem com sql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Automatizar quando viável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P1</w:t>
            </w:r>
          </w:p>
        </w:tc>
      </w:tr>
      <w:tr>
        <w:tc>
          <w:tcPr>
            <w:tcW w:type="dxa" w:w="1972"/>
            <w:vAlign w:val="center"/>
          </w:tcPr>
          <w:p>
            <w:r>
              <w:rPr>
                <w:sz w:val="17"/>
              </w:rPr>
              <w:t>CT-028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Dashboard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Comparação temporal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Automatizar quando viável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P1</w:t>
            </w:r>
          </w:p>
        </w:tc>
      </w:tr>
      <w:tr>
        <w:tc>
          <w:tcPr>
            <w:tcW w:type="dxa" w:w="1972"/>
            <w:vAlign w:val="center"/>
          </w:tcPr>
          <w:p>
            <w:r>
              <w:rPr>
                <w:sz w:val="17"/>
              </w:rPr>
              <w:t>CT-029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Dashboard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Drill-down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Automatizar quando viável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P1</w:t>
            </w:r>
          </w:p>
        </w:tc>
      </w:tr>
      <w:tr>
        <w:tc>
          <w:tcPr>
            <w:tcW w:type="dxa" w:w="1972"/>
            <w:vAlign w:val="center"/>
          </w:tcPr>
          <w:p>
            <w:r>
              <w:rPr>
                <w:sz w:val="17"/>
              </w:rPr>
              <w:t>CT-030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Import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Preview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Automatizar quando viável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P1</w:t>
            </w:r>
          </w:p>
        </w:tc>
      </w:tr>
      <w:tr>
        <w:tc>
          <w:tcPr>
            <w:tcW w:type="dxa" w:w="1972"/>
            <w:vAlign w:val="center"/>
          </w:tcPr>
          <w:p>
            <w:r>
              <w:rPr>
                <w:sz w:val="17"/>
              </w:rPr>
              <w:t>CT-031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Import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Erro por linha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Automatizar quando viável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P1</w:t>
            </w:r>
          </w:p>
        </w:tc>
      </w:tr>
      <w:tr>
        <w:tc>
          <w:tcPr>
            <w:tcW w:type="dxa" w:w="1972"/>
            <w:vAlign w:val="center"/>
          </w:tcPr>
          <w:p>
            <w:r>
              <w:rPr>
                <w:sz w:val="17"/>
              </w:rPr>
              <w:t>CT-032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Import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Rollback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Automatizar quando viável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P1</w:t>
            </w:r>
          </w:p>
        </w:tc>
      </w:tr>
      <w:tr>
        <w:tc>
          <w:tcPr>
            <w:tcW w:type="dxa" w:w="1972"/>
            <w:vAlign w:val="center"/>
          </w:tcPr>
          <w:p>
            <w:r>
              <w:rPr>
                <w:sz w:val="17"/>
              </w:rPr>
              <w:t>CT-033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Import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Commit válido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Automatizar quando viável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P1</w:t>
            </w:r>
          </w:p>
        </w:tc>
      </w:tr>
      <w:tr>
        <w:tc>
          <w:tcPr>
            <w:tcW w:type="dxa" w:w="1972"/>
            <w:vAlign w:val="center"/>
          </w:tcPr>
          <w:p>
            <w:r>
              <w:rPr>
                <w:sz w:val="17"/>
              </w:rPr>
              <w:t>CT-034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Audit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Evento de create/update/download/login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Automatizar quando viável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1972"/>
            <w:vAlign w:val="center"/>
          </w:tcPr>
          <w:p>
            <w:r>
              <w:rPr>
                <w:sz w:val="17"/>
              </w:rPr>
              <w:t>CT-035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Audit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Não editável por usuário comum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Automatizar quando viável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1972"/>
            <w:vAlign w:val="center"/>
          </w:tcPr>
          <w:p>
            <w:r>
              <w:rPr>
                <w:sz w:val="17"/>
              </w:rPr>
              <w:t>CT-036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Backup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Dump/restore em ambiente de teste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Automatizar quando viável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P1</w:t>
            </w:r>
          </w:p>
        </w:tc>
      </w:tr>
      <w:tr>
        <w:tc>
          <w:tcPr>
            <w:tcW w:type="dxa" w:w="1972"/>
            <w:vAlign w:val="center"/>
          </w:tcPr>
          <w:p>
            <w:r>
              <w:rPr>
                <w:sz w:val="17"/>
              </w:rPr>
              <w:t>CT-037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Mobile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390px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Automatizar quando viável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P1</w:t>
            </w:r>
          </w:p>
        </w:tc>
      </w:tr>
      <w:tr>
        <w:tc>
          <w:tcPr>
            <w:tcW w:type="dxa" w:w="1972"/>
            <w:vAlign w:val="center"/>
          </w:tcPr>
          <w:p>
            <w:r>
              <w:rPr>
                <w:sz w:val="17"/>
              </w:rPr>
              <w:t>CT-038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Mobile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Navegação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Automatizar quando viável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P1</w:t>
            </w:r>
          </w:p>
        </w:tc>
      </w:tr>
      <w:tr>
        <w:tc>
          <w:tcPr>
            <w:tcW w:type="dxa" w:w="1972"/>
            <w:vAlign w:val="center"/>
          </w:tcPr>
          <w:p>
            <w:r>
              <w:rPr>
                <w:sz w:val="17"/>
              </w:rPr>
              <w:t>CT-039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Mobile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Formulário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Automatizar quando viável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P1</w:t>
            </w:r>
          </w:p>
        </w:tc>
      </w:tr>
      <w:tr>
        <w:tc>
          <w:tcPr>
            <w:tcW w:type="dxa" w:w="1972"/>
            <w:vAlign w:val="center"/>
          </w:tcPr>
          <w:p>
            <w:r>
              <w:rPr>
                <w:sz w:val="17"/>
              </w:rPr>
              <w:t>CT-040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Mobile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Mapa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Automatizar quando viável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P1</w:t>
            </w:r>
          </w:p>
        </w:tc>
      </w:tr>
      <w:tr>
        <w:tc>
          <w:tcPr>
            <w:tcW w:type="dxa" w:w="1972"/>
            <w:vAlign w:val="center"/>
          </w:tcPr>
          <w:p>
            <w:r>
              <w:rPr>
                <w:sz w:val="17"/>
              </w:rPr>
              <w:t>CT-041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A11y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Teclado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Automatizar quando viável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P1</w:t>
            </w:r>
          </w:p>
        </w:tc>
      </w:tr>
      <w:tr>
        <w:tc>
          <w:tcPr>
            <w:tcW w:type="dxa" w:w="1972"/>
            <w:vAlign w:val="center"/>
          </w:tcPr>
          <w:p>
            <w:r>
              <w:rPr>
                <w:sz w:val="17"/>
              </w:rPr>
              <w:t>CT-042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A11y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Foco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Automatizar quando viável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P1</w:t>
            </w:r>
          </w:p>
        </w:tc>
      </w:tr>
      <w:tr>
        <w:tc>
          <w:tcPr>
            <w:tcW w:type="dxa" w:w="1972"/>
            <w:vAlign w:val="center"/>
          </w:tcPr>
          <w:p>
            <w:r>
              <w:rPr>
                <w:sz w:val="17"/>
              </w:rPr>
              <w:t>CT-043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A11y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Labels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Automatizar quando viável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P1</w:t>
            </w:r>
          </w:p>
        </w:tc>
      </w:tr>
      <w:tr>
        <w:tc>
          <w:tcPr>
            <w:tcW w:type="dxa" w:w="1972"/>
            <w:vAlign w:val="center"/>
          </w:tcPr>
          <w:p>
            <w:r>
              <w:rPr>
                <w:sz w:val="17"/>
              </w:rPr>
              <w:t>CT-044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A11y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Contraste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Automatizar quando viável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P1</w:t>
            </w:r>
          </w:p>
        </w:tc>
      </w:tr>
      <w:tr>
        <w:tc>
          <w:tcPr>
            <w:tcW w:type="dxa" w:w="1972"/>
            <w:vAlign w:val="center"/>
          </w:tcPr>
          <w:p>
            <w:r>
              <w:rPr>
                <w:sz w:val="17"/>
              </w:rPr>
              <w:t>CT-045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Security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Idor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Automatizar quando viável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1972"/>
            <w:vAlign w:val="center"/>
          </w:tcPr>
          <w:p>
            <w:r>
              <w:rPr>
                <w:sz w:val="17"/>
              </w:rPr>
              <w:t>CT-046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Security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Xss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Automatizar quando viável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1972"/>
            <w:vAlign w:val="center"/>
          </w:tcPr>
          <w:p>
            <w:r>
              <w:rPr>
                <w:sz w:val="17"/>
              </w:rPr>
              <w:t>CT-047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Security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Sqli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Automatizar quando viável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1972"/>
            <w:vAlign w:val="center"/>
          </w:tcPr>
          <w:p>
            <w:r>
              <w:rPr>
                <w:sz w:val="17"/>
              </w:rPr>
              <w:t>CT-048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Security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Upload perigoso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Automatizar quando viável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1972"/>
            <w:vAlign w:val="center"/>
          </w:tcPr>
          <w:p>
            <w:r>
              <w:rPr>
                <w:sz w:val="17"/>
              </w:rPr>
              <w:t>CT-049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Security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Headers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Automatizar quando viável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1972"/>
            <w:vAlign w:val="center"/>
          </w:tcPr>
          <w:p>
            <w:r>
              <w:rPr>
                <w:sz w:val="17"/>
              </w:rPr>
              <w:t>CT-050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Security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Rate limit chatbot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Automatizar quando viável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P0</w:t>
            </w:r>
          </w:p>
        </w:tc>
      </w:tr>
      <w:tr>
        <w:tc>
          <w:tcPr>
            <w:tcW w:type="dxa" w:w="1972"/>
            <w:vAlign w:val="center"/>
          </w:tcPr>
          <w:p>
            <w:r>
              <w:rPr>
                <w:sz w:val="17"/>
              </w:rPr>
              <w:t>CT-051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Performance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1000+ ocorrências seed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Automatizar quando viável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P1</w:t>
            </w:r>
          </w:p>
        </w:tc>
      </w:tr>
      <w:tr>
        <w:tc>
          <w:tcPr>
            <w:tcW w:type="dxa" w:w="1972"/>
            <w:vAlign w:val="center"/>
          </w:tcPr>
          <w:p>
            <w:r>
              <w:rPr>
                <w:sz w:val="17"/>
              </w:rPr>
              <w:t>CT-052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Performance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Filtros e mapa aceitáveis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Automatizar quando viável</w:t>
            </w:r>
          </w:p>
        </w:tc>
        <w:tc>
          <w:tcPr>
            <w:tcW w:type="dxa" w:w="1972"/>
            <w:vAlign w:val="center"/>
          </w:tcPr>
          <w:p>
            <w:r>
              <w:rPr>
                <w:sz w:val="17"/>
              </w:rPr>
              <w:t>P1</w:t>
            </w:r>
          </w:p>
        </w:tc>
      </w:tr>
    </w:tbl>
    <w:p>
      <w:pPr>
        <w:pStyle w:val="Heading1"/>
      </w:pPr>
      <w:r>
        <w:t>3. Validação OCR</w:t>
      </w:r>
    </w:p>
    <w:p>
      <w:r>
        <w:t>Construir fixture de formulários sintéticos com gabarito. Medir acurácia por campo, CER/WER, taxa de campos abaixo do threshold e tempo de revisão. Reportar por classe documental; não misturar manuscrito e impresso sem estratificação.</w:t>
      </w:r>
    </w:p>
    <w:p>
      <w:pPr>
        <w:pStyle w:val="Heading1"/>
      </w:pPr>
      <w:r>
        <w:t>4. Validação chatbot</w:t>
      </w:r>
    </w:p>
    <w:p>
      <w:r>
        <w:t>Criar golden set com intenções, parafrases, perguntas ambíguas, fora de escopo e ataques. Medir intent accuracy/cobertura, groundedness, source correctness, fallback, latência e taxa de respostas inseguras. Toda base deve estar versionada.</w:t>
      </w:r>
    </w:p>
    <w:p>
      <w:pPr>
        <w:pStyle w:val="Heading1"/>
      </w:pPr>
      <w:r>
        <w:t>5. Validação espacial</w:t>
      </w:r>
    </w:p>
    <w:p>
      <w:r>
        <w:t>Validar coordenadas, SRID, limites, geocodificação, pontos fora da área e agregação pública. Se houver modelo de risco, usar validação espaço-temporal, não apenas split aleatório.</w:t>
      </w:r>
    </w:p>
    <w:p>
      <w:pPr>
        <w:pStyle w:val="Heading1"/>
      </w:pPr>
      <w:r>
        <w:t>6. Usabilidade</w:t>
      </w:r>
    </w:p>
    <w:p>
      <w:pPr>
        <w:pStyle w:val="ListBullet"/>
      </w:pPr>
      <w:r>
        <w:t>SUS; taxa de conclusão; tempo; erros; think-aloud opcional; comparação de perfis; registrar versão e tarefa; não inferir eficácia epidemiológica a partir de SUS.</w:t>
      </w:r>
    </w:p>
    <w:p>
      <w:pPr>
        <w:pStyle w:val="Heading1"/>
      </w:pPr>
      <w:r>
        <w:t>7. Definition of Done</w:t>
      </w:r>
    </w:p>
    <w:p>
      <w:pPr>
        <w:pStyle w:val="ListBullet"/>
      </w:pPr>
      <w:r>
        <w:t>critério de aceite atendido; teste automático quando aplicável; sem bug P0/P1 aberto; logs adequados; documentação atualizada; migração/seed atualizados; revisão de segurança para fluxo sensível; screenshot/evidência quando exigida.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134" w:bottom="90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46464"/>
        <w:sz w:val="16"/>
      </w:rPr>
      <w:t>IFMT - Campus Várzea Grande | Ecossistema Zoonoses | Encerramento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54823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