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IA RESPONSÁVEL</w:t>
      </w:r>
    </w:p>
    <w:p>
      <w:pPr>
        <w:spacing w:before="360"/>
        <w:jc w:val="center"/>
      </w:pPr>
      <w:r>
        <w:rPr>
          <w:b/>
          <w:color w:val="4B2D67"/>
          <w:sz w:val="46"/>
        </w:rPr>
        <w:t>Governança de Inteligência Artificial e Caso de Segurança</w:t>
      </w:r>
    </w:p>
    <w:p>
      <w:pPr>
        <w:jc w:val="center"/>
      </w:pPr>
      <w:r>
        <w:rPr>
          <w:color w:val="6E4A7E"/>
          <w:sz w:val="23"/>
        </w:rPr>
        <w:t>Finalidade de uso, riscos, controles, evidências e risco residual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Finalidade de uso</w:t>
      </w:r>
    </w:p>
    <w:p>
      <w:pPr>
        <w:jc w:val="both"/>
      </w:pPr>
      <w:r>
        <w:t>O componente conversacional destina-se a psicoeducação, apoio emocional de baixo limiar, navegação pelos recursos da plataforma e incentivo ao contato humano quando apropriado. Não se destina a diagnóstico, tratamento autônomo, avaliação psicológica formal, prescrição ou gerenciamento de crise sem rede humana.</w:t>
      </w:r>
    </w:p>
    <w:p>
      <w:pPr>
        <w:pStyle w:val="Heading1"/>
      </w:pPr>
      <w:r>
        <w:t>2. Usos proibidos</w:t>
      </w:r>
    </w:p>
    <w:p>
      <w:pPr>
        <w:pStyle w:val="ListBullet"/>
        <w:jc w:val="both"/>
      </w:pPr>
      <w:r>
        <w:t>Diagnosticar transtornos ou confirmar autodiagnóstico.</w:t>
      </w:r>
    </w:p>
    <w:p>
      <w:pPr>
        <w:pStyle w:val="ListBullet"/>
        <w:jc w:val="both"/>
      </w:pPr>
      <w:r>
        <w:t>Recomendar medicamento, dose, suspensão ou troca de tratamento.</w:t>
      </w:r>
    </w:p>
    <w:p>
      <w:pPr>
        <w:pStyle w:val="ListBullet"/>
        <w:jc w:val="both"/>
      </w:pPr>
      <w:r>
        <w:t>Realizar avaliação psicológica formal.</w:t>
      </w:r>
    </w:p>
    <w:p>
      <w:pPr>
        <w:pStyle w:val="ListBullet"/>
        <w:jc w:val="both"/>
      </w:pPr>
      <w:r>
        <w:t>Assumir identidade profissional ou vínculo terapêutico.</w:t>
      </w:r>
    </w:p>
    <w:p>
      <w:pPr>
        <w:pStyle w:val="ListBullet"/>
        <w:jc w:val="both"/>
      </w:pPr>
      <w:r>
        <w:t>Reforçar segredo, exclusividade ou substituição da rede humana.</w:t>
      </w:r>
    </w:p>
    <w:p>
      <w:pPr>
        <w:pStyle w:val="ListBullet"/>
        <w:jc w:val="both"/>
      </w:pPr>
      <w:r>
        <w:t>Usar diário privado como contexto generativo por padrão.</w:t>
      </w:r>
    </w:p>
    <w:p>
      <w:pPr>
        <w:pStyle w:val="ListBullet"/>
        <w:jc w:val="both"/>
      </w:pPr>
      <w:r>
        <w:t>Produzir escore clínico individual a partir de telemetria.</w:t>
      </w:r>
    </w:p>
    <w:p>
      <w:pPr>
        <w:pStyle w:val="Heading1"/>
      </w:pPr>
      <w:r>
        <w:t>3. Princípios de governança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Implementação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Autonomia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IA identificada; opções humanas visíveis; consentimentos claros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Benefício e segurança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Gateway de segurança, conjunto dourado e fluxo de incidentes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Transparência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Fontes, versão da base e provedor/modelo registrados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Responsabilização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Responsáveis técnicos, de conteúdo e de segurança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Equidade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Testes por linguagem, faixa etária e personas; revisão de vieses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Privacidade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Minimização e separação de conteúdo íntimo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Gestão de mudanças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Versões de modelo, instruções, base e políticas com regressão</w:t>
            </w:r>
          </w:p>
        </w:tc>
      </w:tr>
    </w:tbl>
    <w:p>
      <w:pPr>
        <w:pStyle w:val="Heading1"/>
      </w:pPr>
      <w:r>
        <w:t>4. Caso de segurança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Claim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Argumento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Evidência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SC-01: sem autonomia clínica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Fluxos clínicos não existem no domínio da IA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Testes de diagnóstico/prescrição + arquitetura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SC-02: conteúdo fundamentado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Geração depende de base aprovada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Testes de recuperação + cobertura de fontes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SC-03: segurança independente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Políticas críticas antecedem o provedor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Testes unitários + conjunto dourado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SC-04: dependência não reforçada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Política específica detecta exclusividade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Casos de antidependência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SC-05: conteúdo íntimo isolado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Diário e mensagens segregados das análises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Testes de RBAC e linhagem de dados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SC-06: troca de modelo controlada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Mudança exige regressão de segurança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Relatório de QA e registro de configuração</w:t>
            </w:r>
          </w:p>
        </w:tc>
      </w:tr>
    </w:tbl>
    <w:p>
      <w:pPr>
        <w:pStyle w:val="Heading1"/>
      </w:pPr>
      <w:r>
        <w:t>5. Registro de perigos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Perigo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Severidade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Risco residual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Diagnóstico indevido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Política + recusa + testes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Baixo-médio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Prescrição/medicação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Recusa rígida + profissional humano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Baixo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Falha em cenário crítico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Crítica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Fluxo dedicado + contingência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Médio até validação de campo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Dependência emocional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Política e UX de antidependência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Baixo-médio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Exposição de diário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Crítica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Segregação + RBAC + registros minimizados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Baixo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Contato inventado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Diretório configurado; números não inventados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Baixo</w:t>
            </w:r>
          </w:p>
        </w:tc>
      </w:tr>
    </w:tbl>
    <w:p>
      <w:pPr>
        <w:pStyle w:val="Heading1"/>
      </w:pPr>
      <w:r>
        <w:t>6. Pipeline e provedores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16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1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Controles antes e depois do provedor</w:t>
      </w:r>
    </w:p>
    <w:p>
      <w:pPr>
        <w:jc w:val="both"/>
      </w:pPr>
      <w:r>
        <w:t>A abstração contempla provedor simulado, provedor compatível com API OpenAI e integração Ollama. Na validação final, o host de QA não disponibilizou o serviço Ollama/Mistral para inferência; a verificação de disponibilidade identificou essa condição e a contingência para o modo simulado operou sem afetar as políticas, a recuperação de fontes ou os fluxos obrigatórios.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