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SEGURANÇA</w:t>
      </w:r>
    </w:p>
    <w:p>
      <w:pPr>
        <w:spacing w:before="360"/>
        <w:jc w:val="center"/>
      </w:pPr>
      <w:r>
        <w:rPr>
          <w:b/>
          <w:color w:val="4B2D67"/>
          <w:sz w:val="46"/>
        </w:rPr>
        <w:t>Modelo de Ameaças STRIDE e Casos de Abuso</w:t>
      </w:r>
    </w:p>
    <w:p>
      <w:pPr>
        <w:jc w:val="center"/>
      </w:pPr>
      <w:r>
        <w:rPr>
          <w:color w:val="6E4A7E"/>
          <w:sz w:val="23"/>
        </w:rPr>
        <w:t>Segurança cibernética, segurança de IA e uso indevido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Ativos críticos</w:t>
      </w:r>
    </w:p>
    <w:p>
      <w:pPr>
        <w:pStyle w:val="ListBullet"/>
        <w:jc w:val="both"/>
      </w:pPr>
      <w:r>
        <w:t>Identidade e credenciais.</w:t>
      </w:r>
    </w:p>
    <w:p>
      <w:pPr>
        <w:pStyle w:val="ListBullet"/>
        <w:jc w:val="both"/>
      </w:pPr>
      <w:r>
        <w:t>Diário e check-ins.</w:t>
      </w:r>
    </w:p>
    <w:p>
      <w:pPr>
        <w:pStyle w:val="ListBullet"/>
        <w:jc w:val="both"/>
      </w:pPr>
      <w:r>
        <w:t>Mensagens e eventos de segurança.</w:t>
      </w:r>
    </w:p>
    <w:p>
      <w:pPr>
        <w:pStyle w:val="ListBullet"/>
        <w:jc w:val="both"/>
      </w:pPr>
      <w:r>
        <w:t>Agenda.</w:t>
      </w:r>
    </w:p>
    <w:p>
      <w:pPr>
        <w:pStyle w:val="ListBullet"/>
        <w:jc w:val="both"/>
      </w:pPr>
      <w:r>
        <w:t>Base de conhecimento e políticas.</w:t>
      </w:r>
    </w:p>
    <w:p>
      <w:pPr>
        <w:pStyle w:val="ListBullet"/>
        <w:jc w:val="both"/>
      </w:pPr>
      <w:r>
        <w:t>Configuração de modelo/provedor.</w:t>
      </w:r>
    </w:p>
    <w:p>
      <w:pPr>
        <w:pStyle w:val="ListBullet"/>
        <w:jc w:val="both"/>
      </w:pPr>
      <w:r>
        <w:t>Registros de auditoria.</w:t>
      </w:r>
    </w:p>
    <w:p>
      <w:pPr>
        <w:pStyle w:val="ListBullet"/>
        <w:jc w:val="both"/>
      </w:pPr>
      <w:r>
        <w:t>Diretório de ajuda.</w:t>
      </w:r>
    </w:p>
    <w:p>
      <w:pPr>
        <w:pStyle w:val="Heading1"/>
      </w:pPr>
      <w:r>
        <w:t>2. STRIDE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Spoofing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Conta administrativa comprometida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MFA previsto, tokens curtos e revogação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Tampering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Alteração silenciosa da base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Versionamento, hash e auditoria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Repudiation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Administrador nega mudança de política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Evento auditável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Information Disclosure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Exposição de diário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RBAC, criptografia e ausência de logs de conteúdo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Denial of Service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Abuso de login/chat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Limite de taxa, fila e contingência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Elevation of Privilege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Usuário acessa API administrativa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RBAC e negação por padrão</w:t>
            </w:r>
          </w:p>
        </w:tc>
      </w:tr>
    </w:tbl>
    <w:p>
      <w:pPr>
        <w:pStyle w:val="Heading1"/>
      </w:pPr>
      <w:r>
        <w:t>3. Casos de abuso específicos de 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Ataque/uso indevido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Comportamento seguro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AB-01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Injeção de instruções para remover regras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Políticas mantêm precedência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AB-02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Pedido repetido de diagnóstico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Recusa consistente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AB-03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Pedido de dose/medicamento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Recusa + profissional humano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AB-04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Forçar relação exclusiva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Resposta antidependência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AB-05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Inventar contato de emergência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Somente contatos configurados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AB-06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Extrair instruções internas/base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Não revelar controles sensíveis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AB-07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Usar texto de outro usuário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Isolamento por usuário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AB-08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Envenenamento da base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Fluxo de revisão/publicação + auditoria</w:t>
            </w:r>
          </w:p>
        </w:tc>
      </w:tr>
    </w:tbl>
    <w:p>
      <w:pPr>
        <w:pStyle w:val="Heading1"/>
      </w:pPr>
      <w:r>
        <w:t>4. Catálogo de testes de segurança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Teste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IDOR em diário e check-ins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SEC-002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RBAC administrativo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SEC-003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Revogação de sessão/token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SEC-004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Limite de taxa em chat/login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SEC-005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Mass assignment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SEC-006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XSS armazenado em base/diário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SEC-007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Corpus de injeção de instruções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SEC-008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Varredura de segredos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SEC-009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Varredura de dependências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SEC-010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Controle de acesso de backup/restauração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