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E4A7E"/>
          <w:sz w:val="30"/>
        </w:rPr>
        <w:t>TERAPIA</w:t>
      </w:r>
    </w:p>
    <w:p>
      <w:pPr>
        <w:jc w:val="center"/>
      </w:pPr>
      <w:r>
        <w:rPr>
          <w:b/>
          <w:color w:val="3E7B84"/>
          <w:sz w:val="19"/>
        </w:rPr>
        <w:t>OPERAÇÃO E CONTINUIDADE</w:t>
      </w:r>
    </w:p>
    <w:p>
      <w:pPr>
        <w:spacing w:before="360"/>
        <w:jc w:val="center"/>
      </w:pPr>
      <w:r>
        <w:rPr>
          <w:b/>
          <w:color w:val="4B2D67"/>
          <w:sz w:val="46"/>
        </w:rPr>
        <w:t>Implantação, Operações de IA e Continuidade</w:t>
      </w:r>
    </w:p>
    <w:p>
      <w:pPr>
        <w:jc w:val="center"/>
      </w:pPr>
      <w:r>
        <w:rPr>
          <w:color w:val="6E4A7E"/>
          <w:sz w:val="23"/>
        </w:rPr>
        <w:t>Ambientes, portas de qualidade, observabilidade, mudança de modelo e recuperação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0"/>
        <w:gridCol w:w="4910"/>
      </w:tblGrid>
      <w:tr>
        <w:tc>
          <w:tcPr>
            <w:tcW w:type="dxa" w:w="4910"/>
            <w:shd w:fill="EEE7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Projeto</w:t>
            </w:r>
          </w:p>
        </w:tc>
        <w:tc>
          <w:tcPr>
            <w:tcW w:type="dxa" w:w="491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TerapIA: Plataforma Móvel para apoio mental com Inteligência Artificial</w:t>
            </w:r>
          </w:p>
        </w:tc>
      </w:tr>
      <w:tr>
        <w:tc>
          <w:tcPr>
            <w:tcW w:type="dxa" w:w="4910"/>
            <w:shd w:fill="EEE7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Coordenador</w:t>
            </w:r>
          </w:p>
        </w:tc>
        <w:tc>
          <w:tcPr>
            <w:tcW w:type="dxa" w:w="491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Carlos Gracioli Neto</w:t>
            </w:r>
          </w:p>
        </w:tc>
      </w:tr>
      <w:tr>
        <w:tc>
          <w:tcPr>
            <w:tcW w:type="dxa" w:w="4910"/>
            <w:shd w:fill="EEE7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Instituição</w:t>
            </w:r>
          </w:p>
        </w:tc>
        <w:tc>
          <w:tcPr>
            <w:tcW w:type="dxa" w:w="491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Instituto Federal de Educação, Ciência e Tecnologia de Mato Grosso - IFMT - Campus Várzea Grande</w:t>
            </w:r>
          </w:p>
        </w:tc>
      </w:tr>
      <w:tr>
        <w:tc>
          <w:tcPr>
            <w:tcW w:type="dxa" w:w="4910"/>
            <w:shd w:fill="EEE7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Período</w:t>
            </w:r>
          </w:p>
        </w:tc>
        <w:tc>
          <w:tcPr>
            <w:tcW w:type="dxa" w:w="491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01/09/2025 a 31/08/2026</w:t>
            </w:r>
          </w:p>
        </w:tc>
      </w:tr>
      <w:tr>
        <w:tc>
          <w:tcPr>
            <w:tcW w:type="dxa" w:w="4910"/>
            <w:shd w:fill="EEE7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Referência</w:t>
            </w:r>
          </w:p>
        </w:tc>
        <w:tc>
          <w:tcPr>
            <w:tcW w:type="dxa" w:w="491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Projeto de Pesquisa 138/2025 - PROPES/IFMT</w:t>
            </w:r>
          </w:p>
        </w:tc>
      </w:tr>
    </w:tbl>
    <w:p>
      <w:pPr>
        <w:spacing w:before="200"/>
        <w:jc w:val="center"/>
      </w:pPr>
      <w:r>
        <w:rPr>
          <w:b/>
        </w:rPr>
        <w:t xml:space="preserve">Repositório técnico e documentação: </w:t>
      </w:r>
      <w:hyperlink r:id="rId11">
        <w:r>
          <w:rPr>
            <w:color w:val="5B3C88"/>
            <w:u w:val="single"/>
          </w:rPr>
          <w:t>https://github.com/devfullstackNeto/terapia</w:t>
        </w:r>
      </w:hyperlink>
    </w:p>
    <w:p>
      <w:pPr>
        <w:jc w:val="center"/>
      </w:pPr>
      <w:r>
        <w:rPr>
          <w:color w:val="666A73"/>
          <w:sz w:val="18"/>
        </w:rPr>
        <w:t>Entrega final - 2026</w:t>
      </w:r>
    </w:p>
    <w:p>
      <w:r>
        <w:br w:type="page"/>
      </w:r>
    </w:p>
    <w:p>
      <w:pPr>
        <w:pStyle w:val="Heading1"/>
      </w:pPr>
      <w:r>
        <w:t>1. Ambientes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5"/>
        <w:gridCol w:w="2455"/>
        <w:gridCol w:w="2455"/>
        <w:gridCol w:w="2455"/>
      </w:tblGrid>
      <w:tr>
        <w:tc>
          <w:tcPr>
            <w:tcW w:type="dxa" w:w="2455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Ambiente</w:t>
            </w:r>
          </w:p>
        </w:tc>
        <w:tc>
          <w:tcPr>
            <w:tcW w:type="dxa" w:w="2455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Dados</w:t>
            </w:r>
          </w:p>
        </w:tc>
        <w:tc>
          <w:tcPr>
            <w:tcW w:type="dxa" w:w="2455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IA externa</w:t>
            </w:r>
          </w:p>
        </w:tc>
        <w:tc>
          <w:tcPr>
            <w:tcW w:type="dxa" w:w="2455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Objetivo</w:t>
            </w:r>
          </w:p>
        </w:tc>
      </w:tr>
      <w:tr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Local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Sintéticos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Opcional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Desenvolvimento e QA</w:t>
            </w:r>
          </w:p>
        </w:tc>
      </w:tr>
      <w:tr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Demonstração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Sintéticos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Modo simulado por padrão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Apresentação</w:t>
            </w:r>
          </w:p>
        </w:tc>
      </w:tr>
      <w:tr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Homologação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Sintéticos/permitidos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Configurável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QA e revisão</w:t>
            </w:r>
          </w:p>
        </w:tc>
      </w:tr>
      <w:tr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Piloto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Mínimo autorizado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Somente provedor aprovado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Avaliação controlada</w:t>
            </w:r>
          </w:p>
        </w:tc>
      </w:tr>
      <w:tr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Produção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Governança formal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Provedor aprovado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Serviço institucional</w:t>
            </w:r>
          </w:p>
        </w:tc>
      </w:tr>
    </w:tbl>
    <w:p>
      <w:pPr>
        <w:pStyle w:val="Heading1"/>
      </w:pPr>
      <w:r>
        <w:t>2. Pipeline de liberação</w:t>
      </w:r>
    </w:p>
    <w:p>
      <w:pPr>
        <w:pStyle w:val="ListBullet"/>
        <w:jc w:val="both"/>
      </w:pPr>
      <w:r>
        <w:t>Lint e verificação de tipos.</w:t>
      </w:r>
    </w:p>
    <w:p>
      <w:pPr>
        <w:pStyle w:val="ListBullet"/>
        <w:jc w:val="both"/>
      </w:pPr>
      <w:r>
        <w:t>Testes unitários e de integração.</w:t>
      </w:r>
    </w:p>
    <w:p>
      <w:pPr>
        <w:pStyle w:val="ListBullet"/>
        <w:jc w:val="both"/>
      </w:pPr>
      <w:r>
        <w:t>Análise estática, dependências e varredura de segredos.</w:t>
      </w:r>
    </w:p>
    <w:p>
      <w:pPr>
        <w:pStyle w:val="ListBullet"/>
        <w:jc w:val="both"/>
      </w:pPr>
      <w:r>
        <w:t>Conjunto dourado de IA.</w:t>
      </w:r>
    </w:p>
    <w:p>
      <w:pPr>
        <w:pStyle w:val="ListBullet"/>
        <w:jc w:val="both"/>
      </w:pPr>
      <w:r>
        <w:t>Testes ponta a ponta.</w:t>
      </w:r>
    </w:p>
    <w:p>
      <w:pPr>
        <w:pStyle w:val="ListBullet"/>
        <w:jc w:val="both"/>
      </w:pPr>
      <w:r>
        <w:t>Verificação de acessibilidade.</w:t>
      </w:r>
    </w:p>
    <w:p>
      <w:pPr>
        <w:pStyle w:val="ListBullet"/>
        <w:jc w:val="both"/>
      </w:pPr>
      <w:r>
        <w:t>Construção dos artefatos.</w:t>
      </w:r>
    </w:p>
    <w:p>
      <w:pPr>
        <w:pStyle w:val="ListBullet"/>
        <w:jc w:val="both"/>
      </w:pPr>
      <w:r>
        <w:t>Homologação.</w:t>
      </w:r>
    </w:p>
    <w:p>
      <w:pPr>
        <w:pStyle w:val="ListBullet"/>
        <w:jc w:val="both"/>
      </w:pPr>
      <w:r>
        <w:t>Porta manual de segurança e privacidade.</w:t>
      </w:r>
    </w:p>
    <w:p>
      <w:pPr>
        <w:pStyle w:val="ListBullet"/>
        <w:jc w:val="both"/>
      </w:pPr>
      <w:r>
        <w:t>Implantação e observabilidade.</w:t>
      </w:r>
    </w:p>
    <w:p>
      <w:pPr>
        <w:pStyle w:val="Heading1"/>
      </w:pPr>
      <w:r>
        <w:t>3. Gestão de mudanças em 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0"/>
        <w:gridCol w:w="4910"/>
      </w:tblGrid>
      <w:tr>
        <w:tc>
          <w:tcPr>
            <w:tcW w:type="dxa" w:w="4910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Mudança</w:t>
            </w:r>
          </w:p>
        </w:tc>
        <w:tc>
          <w:tcPr>
            <w:tcW w:type="dxa" w:w="4910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Exigência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Modelo/provedor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Regressão completa do conjunto dourado + aprovação de segurança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Instruções do sistema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Regressão direcionada + revisão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Base de conhecimento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Revisão de conteúdo + checagem de fontes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Política de segurança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Suíte completa de segurança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Diretório de ajuda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Verificação + auditoria</w:t>
            </w:r>
          </w:p>
        </w:tc>
      </w:tr>
    </w:tbl>
    <w:p>
      <w:pPr>
        <w:pStyle w:val="Heading1"/>
      </w:pPr>
      <w:r>
        <w:t>4. Observabilidade sem vigilância excessiva</w:t>
      </w:r>
    </w:p>
    <w:p>
      <w:pPr>
        <w:pStyle w:val="ListBullet"/>
        <w:jc w:val="both"/>
      </w:pPr>
      <w:r>
        <w:t>Latência, erros, eventos de política e contingência sem texto íntimo por padrão.</w:t>
      </w:r>
    </w:p>
    <w:p>
      <w:pPr>
        <w:pStyle w:val="ListBullet"/>
        <w:jc w:val="both"/>
      </w:pPr>
      <w:r>
        <w:t>Métricas de segurança agregadas.</w:t>
      </w:r>
    </w:p>
    <w:p>
      <w:pPr>
        <w:pStyle w:val="ListBullet"/>
        <w:jc w:val="both"/>
      </w:pPr>
      <w:r>
        <w:t>Traços com identificadores pseudônimos.</w:t>
      </w:r>
    </w:p>
    <w:p>
      <w:pPr>
        <w:pStyle w:val="ListBullet"/>
        <w:jc w:val="both"/>
      </w:pPr>
      <w:r>
        <w:t>Alertas de segurança técnica, não alertas clínicos automáticos.</w:t>
      </w:r>
    </w:p>
    <w:p>
      <w:pPr>
        <w:pStyle w:val="ListBullet"/>
        <w:jc w:val="both"/>
      </w:pPr>
      <w:r>
        <w:t>Retenção de registros definida e revisável.</w:t>
      </w:r>
    </w:p>
    <w:p>
      <w:pPr>
        <w:pStyle w:val="Heading1"/>
      </w:pPr>
      <w:r>
        <w:t>5. Continuidade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5"/>
        <w:gridCol w:w="2455"/>
        <w:gridCol w:w="2455"/>
        <w:gridCol w:w="2455"/>
      </w:tblGrid>
      <w:tr>
        <w:tc>
          <w:tcPr>
            <w:tcW w:type="dxa" w:w="2455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Serviço</w:t>
            </w:r>
          </w:p>
        </w:tc>
        <w:tc>
          <w:tcPr>
            <w:tcW w:type="dxa" w:w="2455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RPO de referência</w:t>
            </w:r>
          </w:p>
        </w:tc>
        <w:tc>
          <w:tcPr>
            <w:tcW w:type="dxa" w:w="2455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RTO de referência</w:t>
            </w:r>
          </w:p>
        </w:tc>
        <w:tc>
          <w:tcPr>
            <w:tcW w:type="dxa" w:w="2455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Contingência</w:t>
            </w:r>
          </w:p>
        </w:tc>
      </w:tr>
      <w:tr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API central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24h em demonstração / definir produção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4h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Página estática de recursos</w:t>
            </w:r>
          </w:p>
        </w:tc>
      </w:tr>
      <w:tr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Agenda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24h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8h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Contato humano alternativo</w:t>
            </w:r>
          </w:p>
        </w:tc>
      </w:tr>
      <w:tr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Assistente IA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N/A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Imediato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Desabilitar geração; biblioteca continua</w:t>
            </w:r>
          </w:p>
        </w:tc>
      </w:tr>
      <w:tr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Base de conhecimento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Última versão publicada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1h</w:t>
            </w:r>
          </w:p>
        </w:tc>
        <w:tc>
          <w:tcPr>
            <w:tcW w:type="dxa" w:w="24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Retorno à versão anterior</w:t>
            </w:r>
          </w:p>
        </w:tc>
      </w:tr>
    </w:tbl>
    <w:p>
      <w:pPr>
        <w:pStyle w:val="Heading1"/>
      </w:pPr>
      <w:r>
        <w:t>6. Repositório e versionamento</w:t>
      </w:r>
    </w:p>
    <w:p>
      <w:pPr>
        <w:jc w:val="both"/>
      </w:pPr>
      <w:r>
        <w:t>Código-fonte, documentação, histórico de mudanças e materiais de entrega são mantidos em Git/GitHub, permitindo auditoria técnica, reprodução e continuidade do desenvolvimento: https://github.com/devfullstackNeto/terapia.</w:t>
      </w:r>
    </w:p>
    <w:sectPr>
      <w:headerReference w:type="default" r:id="rId9"/>
      <w:footerReference w:type="default" r:id="rId10"/>
      <w:pgSz w:w="12240" w:h="15840"/>
      <w:pgMar w:top="1152" w:right="1123" w:bottom="1123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A73"/>
        <w:sz w:val="16"/>
      </w:rPr>
      <w:t xml:space="preserve">IFMT | Pesquisa Aplicada |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A73"/>
        <w:sz w:val="16"/>
      </w:rPr>
      <w:t>IFMT | TerapIA |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B2D6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E4A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532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4B2D6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devfullstackNeto/terap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