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MANUSCRITO CIENTÍFICO</w:t>
      </w:r>
    </w:p>
    <w:p>
      <w:pPr>
        <w:spacing w:before="360"/>
        <w:jc w:val="center"/>
      </w:pPr>
      <w:r>
        <w:rPr>
          <w:b/>
          <w:color w:val="4B2D67"/>
          <w:sz w:val="46"/>
        </w:rPr>
        <w:t>Artigo Científico - Arquitetura de IA Responsável</w:t>
      </w:r>
    </w:p>
    <w:p>
      <w:pPr>
        <w:jc w:val="center"/>
      </w:pPr>
      <w:r>
        <w:rPr>
          <w:color w:val="6E4A7E"/>
          <w:sz w:val="23"/>
        </w:rPr>
        <w:t>Uma arquitetura sociotécnica para apoio emocional complementar de adolescentes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Título</w:t>
      </w:r>
    </w:p>
    <w:p>
      <w:pPr>
        <w:jc w:val="both"/>
      </w:pPr>
      <w:r>
        <w:t>TerapIA: uma arquitetura de segurança e privacidade desde o projeto para IA conversacional responsável em saúde mental digital de adolescentes</w:t>
      </w:r>
    </w:p>
    <w:p>
      <w:pPr>
        <w:pStyle w:val="Heading1"/>
      </w:pPr>
      <w:r>
        <w:t>Resumo</w:t>
      </w:r>
    </w:p>
    <w:p>
      <w:pPr>
        <w:jc w:val="both"/>
      </w:pPr>
      <w:r>
        <w:t>Este trabalho apresenta a arquitetura do TerapIA, plataforma de apoio emocional complementar que combina autocuidado, IA conversacional, agenda profissional e análises agregadas. A contribuição central é uma arquitetura que separa geração, detecção de risco, base de conhecimento, serviços humanos e pesquisa. O desenho utiliza gateway de políticas anterior ao modelo, recuperação fundamentada, validação da saída, mecanismos contra dependência, isolamento do diário, supressão de grupos pequenos e gestão de mudanças. O protótipo utiliza dados sintéticos e não reivindica eficácia clínica.</w:t>
      </w:r>
    </w:p>
    <w:p>
      <w:pPr>
        <w:pStyle w:val="Heading1"/>
      </w:pPr>
      <w:r>
        <w:t>1. Introdução</w:t>
      </w:r>
    </w:p>
    <w:p>
      <w:pPr>
        <w:jc w:val="both"/>
      </w:pPr>
      <w:r>
        <w:t>Agentes generativos alteram o perfil de risco de aplicações de saúde mental porque deixam de apenas selecionar conteúdo predefinido e passam a produzir respostas abertas. Para adolescentes, essa mudança exige controles técnicos e de produto que preservem autonomia, reduzam falsa autoridade e mantenham a rede humana visível.</w:t>
      </w:r>
    </w:p>
    <w:p>
      <w:pPr>
        <w:pStyle w:val="Heading1"/>
      </w:pPr>
      <w:r>
        <w:t>2. Método</w:t>
      </w:r>
    </w:p>
    <w:p>
      <w:pPr>
        <w:jc w:val="both"/>
      </w:pPr>
      <w:r>
        <w:t>Pesquisa aplicada orientada a projeto, apoiada por mapeamento sistemático, engenharia de requisitos, modelo de ameaças, avaliação de impacto à privacidade, prototipação e validação automatizada.</w:t>
      </w:r>
    </w:p>
    <w:p>
      <w:pPr>
        <w:pStyle w:val="Heading1"/>
      </w:pPr>
      <w:r>
        <w:t>3. Arquitetura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3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terap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Arquitetura sociotécnica proposta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616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1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Pipeline de controle da IA</w:t>
      </w:r>
    </w:p>
    <w:p>
      <w:pPr>
        <w:pStyle w:val="Heading1"/>
      </w:pPr>
      <w:r>
        <w:t>4. Caso de segurança</w:t>
      </w:r>
    </w:p>
    <w:p>
      <w:pPr>
        <w:jc w:val="both"/>
      </w:pPr>
      <w:r>
        <w:t>A segurança é argumentada por claims verificáveis: ausência de autonomia clínica, conteúdo fundamentado em base aprovada, independência do fluxo crítico em relação ao modelo, isolamento de dados íntimos e revalidação quando modelo, provedor, instruções ou base de conhecimento mudam.</w:t>
      </w:r>
    </w:p>
    <w:p>
      <w:pPr>
        <w:pStyle w:val="Heading1"/>
      </w:pPr>
      <w:r>
        <w:t>5. Resultados técnicos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Pytest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136 aprovados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Conjunto dourado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100/100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Vitest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4 aprovados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Playwright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2 aprovados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Serviços Docker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5/5 saudáveis</w:t>
            </w:r>
          </w:p>
        </w:tc>
      </w:tr>
    </w:tbl>
    <w:p>
      <w:pPr>
        <w:pStyle w:val="Heading1"/>
      </w:pPr>
      <w:r>
        <w:t>6. Discussão</w:t>
      </w:r>
    </w:p>
    <w:p>
      <w:pPr>
        <w:jc w:val="both"/>
      </w:pPr>
      <w:r>
        <w:t>A inovação central não consiste em aproximar a IA da identidade de um terapeuta, mas em estruturar uma plataforma que reconheça seus limites, fundamente respostas, interrompa geração quando políticas críticas forem acionadas e ofereça caminhos humanos. Essa opção é coerente com a incerteza observada na literatura e com princípios de governança de IA em saúde.</w:t>
      </w:r>
    </w:p>
    <w:p>
      <w:pPr>
        <w:pStyle w:val="Heading1"/>
      </w:pPr>
      <w:r>
        <w:t>7. Limitações</w:t>
      </w:r>
    </w:p>
    <w:p>
      <w:pPr>
        <w:jc w:val="both"/>
      </w:pPr>
      <w:r>
        <w:t>A validação é técnica e controlada, com dados sintéticos e persona simulada. Não há reivindicação de eficácia clínica. A integração Ollama foi implementada, mas o host de QA não realizou inferência real com Mistral na rodada final; foi validado o comportamento de verificação de disponibilidade e contingência.</w:t>
      </w:r>
    </w:p>
    <w:p>
      <w:pPr>
        <w:pStyle w:val="Heading1"/>
      </w:pPr>
      <w:r>
        <w:t>8. Conclusão</w:t>
      </w:r>
    </w:p>
    <w:p>
      <w:pPr>
        <w:jc w:val="both"/>
      </w:pPr>
      <w:r>
        <w:t>IA responsável em saúde mental juvenil deve ser tratada como propriedade do sistema sociotécnico, e não somente do modelo. Segurança, privacidade, supervisão humana, rastreabilidade e critérios de liberação são partes do produto.</w:t>
      </w:r>
    </w:p>
    <w:p>
      <w:pPr>
        <w:pStyle w:val="Heading1"/>
      </w:pPr>
      <w:r>
        <w:t>Referências</w:t>
      </w:r>
    </w:p>
    <w:p>
      <w:pPr>
        <w:pStyle w:val="ListNumber"/>
      </w:pPr>
      <w:r>
        <w:t>WORLD HEALTH ORGANIZATION. Mental health of adolescents. Geneva: WHO, 2025. Disponível em: https://www.who.int/news-room/fact-sheets/detail/adolescent-mental-health. Acesso em: 30 set. 2026.</w:t>
      </w:r>
    </w:p>
    <w:p>
      <w:pPr>
        <w:pStyle w:val="ListNumber"/>
      </w:pPr>
      <w:r>
        <w:t>WORLD HEALTH ORGANIZATION. Ethics and governance of artificial intelligence for health. Geneva: WHO, 2021. Disponível em: https://www.who.int/publications/i/item/9789240029200. Acesso em: 30 set. 2026.</w:t>
      </w:r>
    </w:p>
    <w:p>
      <w:pPr>
        <w:pStyle w:val="ListNumber"/>
      </w:pPr>
      <w:r>
        <w:t>WORLD HEALTH ORGANIZATION. Ethics and governance of artificial intelligence for health: guidance on large multi-modal models. Geneva: WHO, 2025. Disponível em: https://www.who.int/publications/i/item/9789240084759. Acesso em: 30 set. 2026.</w:t>
      </w:r>
    </w:p>
    <w:p>
      <w:pPr>
        <w:pStyle w:val="ListNumber"/>
      </w:pPr>
      <w:r>
        <w:t>FENG, X. et al. The Effectiveness of AI Chatbots in Alleviating Mental Distress and Promoting Health Behaviors Among Adolescents and Young Adults: Systematic Review and Meta-Analysis. Journal of Medical Internet Research, v. 27, e79850, 2025. DOI: 10.2196/79850.</w:t>
      </w:r>
    </w:p>
    <w:p>
      <w:pPr>
        <w:pStyle w:val="ListNumber"/>
      </w:pPr>
      <w:r>
        <w:t>FENG, Y. et al. Effectiveness of AI-Driven Conversational Agents in Improving Mental Health Among Young People: Systematic Review and Meta-Analysis. Journal of Medical Internet Research, v. 27, e69639, 2025. DOI: 10.2196/69639.</w:t>
      </w:r>
    </w:p>
    <w:p>
      <w:pPr>
        <w:pStyle w:val="ListNumber"/>
      </w:pPr>
      <w:r>
        <w:t>CHEN, T. H. et al. Effectiveness of mental health chatbots in depression and anxiety for adolescents and young adults: a meta-analysis of randomized controlled trials. Expert Review of Medical Devices, v. 22, n. 3, p. 233-241, 2025. DOI: 10.1080/17434440.2025.2466742.</w:t>
      </w:r>
    </w:p>
    <w:p>
      <w:pPr>
        <w:pStyle w:val="ListNumber"/>
      </w:pPr>
      <w:r>
        <w:t>DÜLSEN, P.; BAUMEISTER, H. Internet- and mobile-based anxiety and depression interventions for children and adolescents: efficacy and negative effects - a systematic review and meta-analysis. European Child &amp; Adolescent Psychiatry, v. 34, n. 1, p. 101-121, 2025. DOI: 10.1007/s00787-024-02404-y.</w:t>
      </w:r>
    </w:p>
    <w:p>
      <w:pPr>
        <w:pStyle w:val="ListNumber"/>
      </w:pPr>
      <w:r>
        <w:t>PATEL, J.; HUNG, C.; KATAPALLY, T. R. Evaluating predictive artificial intelligence approaches used in mobile health platforms to forecast mental health symptoms among youth: a systematic review. Psychiatry Research, v. 343, 116277, 2025. DOI: 10.1016/j.psychres.2024.116277.</w:t>
      </w:r>
    </w:p>
    <w:p>
      <w:pPr>
        <w:pStyle w:val="ListNumber"/>
      </w:pPr>
      <w:r>
        <w:t>BRASIL. Lei nº 13.709, de 14 de agosto de 2018. Lei Geral de Proteção de Dados Pessoais (LGPD). Brasília, DF: Presidência da República, 2018.</w:t>
      </w:r>
    </w:p>
    <w:p>
      <w:pPr>
        <w:pStyle w:val="ListNumber"/>
      </w:pPr>
      <w:r>
        <w:t>BRASIL. Lei nº 8.069, de 13 de julho de 1990. Estatuto da Criança e do Adolescente. Brasília, DF: Presidência da República, 1990.</w:t>
      </w:r>
    </w:p>
    <w:p>
      <w:pPr>
        <w:pStyle w:val="ListNumber"/>
      </w:pPr>
      <w:r>
        <w:t>CONSELHO FEDERAL DE PSICOLOGIA. Resolução CFP nº 9, de 18 de julho de 2024. Regulamenta o exercício profissional da Psicologia mediado por Tecnologias Digitais da Informação e da Comunicação. Brasília, DF: CFP, 2024.</w:t>
      </w:r>
    </w:p>
    <w:p>
      <w:pPr>
        <w:pStyle w:val="ListNumber"/>
      </w:pPr>
      <w:r>
        <w:t>AUTORIDADE NACIONAL DE PROTEÇÃO DE DADOS. Enunciado CD/ANPD nº 1, de 22 de maio de 2023. Tratamento de dados pessoais de crianças e adolescentes. Brasília, DF: ANPD, 2023.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