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4D9" w:rsidRPr="00851C13" w:rsidRDefault="00851C13" w:rsidP="00851C13">
      <w:pPr>
        <w:pStyle w:val="Titel"/>
        <w:jc w:val="right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i</w:t>
      </w:r>
      <w:r w:rsidRPr="00851C13">
        <w:rPr>
          <w:b/>
          <w:sz w:val="72"/>
          <w:szCs w:val="72"/>
        </w:rPr>
        <w:t>nt_wirecard_sfra</w:t>
      </w:r>
      <w:proofErr w:type="spellEnd"/>
    </w:p>
    <w:p w:rsidR="00851C13" w:rsidRPr="00851C13" w:rsidRDefault="00851C13" w:rsidP="00851C13">
      <w:pPr>
        <w:pStyle w:val="Standard1"/>
        <w:keepNext/>
        <w:spacing w:before="480" w:after="240" w:line="240" w:lineRule="auto"/>
        <w:jc w:val="right"/>
        <w:rPr>
          <w:rFonts w:ascii="Cambria" w:eastAsia="Cambria" w:hAnsi="Cambria" w:cs="Cambria"/>
          <w:b/>
          <w:i/>
          <w:sz w:val="24"/>
          <w:szCs w:val="24"/>
        </w:rPr>
      </w:pPr>
      <w:r w:rsidRPr="00851C13">
        <w:rPr>
          <w:rFonts w:ascii="Cambria" w:eastAsia="Cambria" w:hAnsi="Cambria" w:cs="Cambria"/>
          <w:b/>
          <w:i/>
          <w:sz w:val="24"/>
          <w:szCs w:val="24"/>
        </w:rPr>
        <w:t>Version &lt;19.1.0&gt;</w:t>
      </w:r>
    </w:p>
    <w:p w:rsidR="00851C13" w:rsidRDefault="00851C13"/>
    <w:p w:rsidR="00851C13" w:rsidRDefault="00851C13"/>
    <w:p w:rsidR="00851C13" w:rsidRDefault="00851C13">
      <w:r>
        <w:rPr>
          <w:noProof/>
          <w:lang w:val="en-GB" w:eastAsia="en-GB"/>
        </w:rPr>
        <w:drawing>
          <wp:inline distT="114300" distB="114300" distL="114300" distR="114300" wp14:anchorId="7D84D13E" wp14:editId="6B5C383F">
            <wp:extent cx="5756910" cy="1402324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02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C13" w:rsidRDefault="00851C13">
      <w:r>
        <w:br w:type="page"/>
      </w:r>
    </w:p>
    <w:p w:rsidR="00851C13" w:rsidRPr="000C0376" w:rsidRDefault="000C0376" w:rsidP="000C0376">
      <w:pPr>
        <w:pStyle w:val="berschrift1"/>
        <w:numPr>
          <w:ilvl w:val="0"/>
          <w:numId w:val="1"/>
        </w:numPr>
        <w:rPr>
          <w:sz w:val="28"/>
          <w:szCs w:val="28"/>
        </w:rPr>
      </w:pPr>
      <w:r w:rsidRPr="000C0376">
        <w:rPr>
          <w:sz w:val="28"/>
          <w:szCs w:val="28"/>
        </w:rPr>
        <w:lastRenderedPageBreak/>
        <w:t>Summary</w:t>
      </w:r>
    </w:p>
    <w:p w:rsidR="000C0376" w:rsidRDefault="000C0376" w:rsidP="000C0376">
      <w:pPr>
        <w:keepNext/>
        <w:spacing w:before="120" w:after="120"/>
        <w:ind w:left="426"/>
        <w:rPr>
          <w:rFonts w:ascii="Trebuchet MS" w:eastAsia="Times New Roman" w:hAnsi="Trebuchet MS" w:cs="Times New Roman"/>
          <w:iCs/>
          <w:sz w:val="18"/>
          <w:lang w:val="en-US" w:eastAsia="en-GB"/>
        </w:rPr>
      </w:pPr>
      <w:r w:rsidRPr="000C0376"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This document provides detailed information on how to integrate the </w:t>
      </w:r>
      <w:proofErr w:type="spellStart"/>
      <w:r w:rsidRPr="000C0376">
        <w:rPr>
          <w:rFonts w:ascii="Trebuchet MS" w:eastAsia="Times New Roman" w:hAnsi="Trebuchet MS" w:cs="Times New Roman"/>
          <w:iCs/>
          <w:sz w:val="18"/>
          <w:lang w:val="en-US" w:eastAsia="en-GB"/>
        </w:rPr>
        <w:t>sfra</w:t>
      </w:r>
      <w:proofErr w:type="spellEnd"/>
      <w:r w:rsidRPr="000C0376"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(storefront reference architecture variant) of the </w:t>
      </w:r>
      <w:proofErr w:type="spellStart"/>
      <w:r w:rsidRPr="000C0376">
        <w:rPr>
          <w:rFonts w:ascii="Trebuchet MS" w:eastAsia="Times New Roman" w:hAnsi="Trebuchet MS" w:cs="Times New Roman"/>
          <w:iCs/>
          <w:sz w:val="18"/>
          <w:lang w:val="en-US" w:eastAsia="en-GB"/>
        </w:rPr>
        <w:t>Wirecard</w:t>
      </w:r>
      <w:proofErr w:type="spellEnd"/>
      <w:r w:rsidRPr="000C0376"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Payment Gateway cartridge for salesforce commerce cloud.</w:t>
      </w:r>
    </w:p>
    <w:p w:rsidR="000C0376" w:rsidRDefault="000C0376" w:rsidP="000C0376">
      <w:pPr>
        <w:keepNext/>
        <w:spacing w:before="120" w:after="120"/>
        <w:ind w:left="426"/>
        <w:rPr>
          <w:rFonts w:ascii="Trebuchet MS" w:eastAsia="Times New Roman" w:hAnsi="Trebuchet MS" w:cs="Times New Roman"/>
          <w:iCs/>
          <w:sz w:val="18"/>
          <w:lang w:val="en-US" w:eastAsia="en-GB"/>
        </w:rPr>
      </w:pPr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Thus, all references in this document to </w:t>
      </w:r>
      <w:r w:rsidRPr="00CB71DB">
        <w:rPr>
          <w:rFonts w:ascii="Trebuchet MS" w:eastAsia="Times New Roman" w:hAnsi="Trebuchet MS" w:cs="Times New Roman"/>
          <w:iCs/>
          <w:sz w:val="18"/>
          <w:u w:val="single"/>
          <w:lang w:val="en-US" w:eastAsia="en-GB"/>
        </w:rPr>
        <w:t>the cartridges</w:t>
      </w:r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refer to the </w:t>
      </w:r>
      <w:proofErr w:type="spellStart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>int_wirecard_sfra</w:t>
      </w:r>
      <w:proofErr w:type="spellEnd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and the </w:t>
      </w:r>
      <w:proofErr w:type="spellStart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>int_wirecard_core</w:t>
      </w:r>
      <w:proofErr w:type="spellEnd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cartridges included in the package</w:t>
      </w:r>
      <w:r w:rsidR="00CB71DB"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you have downloaded from the LINK marketplace.</w:t>
      </w:r>
    </w:p>
    <w:p w:rsidR="00CB71DB" w:rsidRDefault="00CB71DB" w:rsidP="000C0376">
      <w:pPr>
        <w:keepNext/>
        <w:spacing w:before="120" w:after="120"/>
        <w:ind w:left="426"/>
        <w:rPr>
          <w:rFonts w:ascii="Trebuchet MS" w:eastAsia="Times New Roman" w:hAnsi="Trebuchet MS" w:cs="Times New Roman"/>
          <w:iCs/>
          <w:sz w:val="18"/>
          <w:lang w:val="en-US" w:eastAsia="en-GB"/>
        </w:rPr>
      </w:pPr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The </w:t>
      </w:r>
      <w:proofErr w:type="spellStart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>sfra</w:t>
      </w:r>
      <w:proofErr w:type="spellEnd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functionality is obviously included in the </w:t>
      </w:r>
      <w:proofErr w:type="spellStart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>int_wirecard_sfra</w:t>
      </w:r>
      <w:proofErr w:type="spellEnd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cartridge while </w:t>
      </w:r>
      <w:proofErr w:type="spellStart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>int_wirecard_core</w:t>
      </w:r>
      <w:proofErr w:type="spellEnd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holds the logic that the </w:t>
      </w:r>
      <w:proofErr w:type="spellStart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>sfra</w:t>
      </w:r>
      <w:proofErr w:type="spellEnd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variant shares with its </w:t>
      </w:r>
      <w:proofErr w:type="spellStart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>sitegenesis</w:t>
      </w:r>
      <w:proofErr w:type="spellEnd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counterpart (</w:t>
      </w:r>
      <w:proofErr w:type="spellStart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>int_wirecard_controllers</w:t>
      </w:r>
      <w:proofErr w:type="spellEnd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>)</w:t>
      </w:r>
    </w:p>
    <w:p w:rsidR="00CB71DB" w:rsidRPr="000C0376" w:rsidRDefault="00E32CA1" w:rsidP="000C0376">
      <w:pPr>
        <w:keepNext/>
        <w:spacing w:before="120" w:after="120"/>
        <w:ind w:left="426"/>
        <w:rPr>
          <w:rFonts w:ascii="Trebuchet MS" w:eastAsia="Times New Roman" w:hAnsi="Trebuchet MS" w:cs="Times New Roman"/>
          <w:iCs/>
          <w:sz w:val="18"/>
          <w:lang w:val="en-US" w:eastAsia="en-GB"/>
        </w:rPr>
      </w:pPr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The focus of this document is the description of required steps to integrate the code of the cartridges to your </w:t>
      </w:r>
      <w:proofErr w:type="spellStart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>sfra</w:t>
      </w:r>
      <w:proofErr w:type="spellEnd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environment. </w:t>
      </w:r>
      <w:r w:rsidR="00CB71DB"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For the necessary steps on how to prepare your sandbox / PIG: uploading metadata, setup of service / jobs – pls refer to the int_wirecard.19.1.0.docx </w:t>
      </w:r>
      <w:r w:rsid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>(</w:t>
      </w:r>
      <w:proofErr w:type="spellStart"/>
      <w:r w:rsid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>sitegenesis</w:t>
      </w:r>
      <w:proofErr w:type="spellEnd"/>
      <w:r w:rsid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integration guide) </w:t>
      </w:r>
      <w:r w:rsidR="00CB71DB">
        <w:rPr>
          <w:rFonts w:ascii="Trebuchet MS" w:eastAsia="Times New Roman" w:hAnsi="Trebuchet MS" w:cs="Times New Roman"/>
          <w:iCs/>
          <w:sz w:val="18"/>
          <w:lang w:val="en-US" w:eastAsia="en-GB"/>
        </w:rPr>
        <w:t>where all these prerequisites are described in detail.</w:t>
      </w:r>
    </w:p>
    <w:p w:rsidR="000C0376" w:rsidRDefault="00FF2ECC" w:rsidP="000C0376">
      <w:pPr>
        <w:pStyle w:val="berschrift1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 Guide</w:t>
      </w:r>
    </w:p>
    <w:p w:rsidR="00FF2ECC" w:rsidRDefault="00FF2ECC" w:rsidP="00FF2ECC">
      <w:pPr>
        <w:pStyle w:val="berschrift2"/>
        <w:spacing w:after="240"/>
        <w:ind w:left="1134" w:hanging="595"/>
        <w:rPr>
          <w:b w:val="0"/>
        </w:rPr>
      </w:pPr>
      <w:proofErr w:type="spellStart"/>
      <w:r w:rsidRPr="00FF2ECC">
        <w:rPr>
          <w:b w:val="0"/>
        </w:rPr>
        <w:t>Compile</w:t>
      </w:r>
      <w:proofErr w:type="spellEnd"/>
      <w:r w:rsidRPr="00FF2ECC">
        <w:rPr>
          <w:b w:val="0"/>
        </w:rPr>
        <w:t xml:space="preserve"> </w:t>
      </w:r>
      <w:proofErr w:type="spellStart"/>
      <w:r w:rsidRPr="00FF2ECC">
        <w:rPr>
          <w:b w:val="0"/>
        </w:rPr>
        <w:t>static</w:t>
      </w:r>
      <w:proofErr w:type="spellEnd"/>
      <w:r w:rsidRPr="00FF2ECC">
        <w:rPr>
          <w:b w:val="0"/>
        </w:rPr>
        <w:t xml:space="preserve"> </w:t>
      </w:r>
      <w:proofErr w:type="spellStart"/>
      <w:r w:rsidRPr="00FF2ECC">
        <w:rPr>
          <w:b w:val="0"/>
        </w:rPr>
        <w:t>resources</w:t>
      </w:r>
      <w:proofErr w:type="spellEnd"/>
    </w:p>
    <w:p w:rsidR="00FF2ECC" w:rsidRPr="00FF2ECC" w:rsidRDefault="00FF2ECC" w:rsidP="00FF2ECC">
      <w:pPr>
        <w:keepNext/>
        <w:spacing w:before="120" w:after="120"/>
        <w:ind w:left="426"/>
        <w:rPr>
          <w:rFonts w:ascii="Trebuchet MS" w:eastAsia="Times New Roman" w:hAnsi="Trebuchet MS" w:cs="Times New Roman"/>
          <w:iCs/>
          <w:sz w:val="18"/>
          <w:lang w:val="en-US" w:eastAsia="en-GB"/>
        </w:rPr>
      </w:pPr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From within the </w:t>
      </w:r>
      <w:proofErr w:type="gramStart"/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>package‘</w:t>
      </w:r>
      <w:proofErr w:type="gramEnd"/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>s main directory run the following commands from the cli (command line):</w:t>
      </w:r>
    </w:p>
    <w:p w:rsidR="00FF2ECC" w:rsidRPr="00FF2ECC" w:rsidRDefault="00FF2ECC" w:rsidP="00FF2ECC">
      <w:pPr>
        <w:pStyle w:val="Listenabsatz"/>
        <w:keepNext/>
        <w:numPr>
          <w:ilvl w:val="0"/>
          <w:numId w:val="6"/>
        </w:numPr>
        <w:spacing w:before="120" w:after="120"/>
        <w:rPr>
          <w:rFonts w:ascii="Trebuchet MS" w:eastAsia="Times New Roman" w:hAnsi="Trebuchet MS" w:cs="Times New Roman"/>
          <w:iCs/>
          <w:sz w:val="18"/>
          <w:lang w:val="en-US" w:eastAsia="en-GB"/>
        </w:rPr>
      </w:pPr>
      <w:proofErr w:type="spellStart"/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>npm</w:t>
      </w:r>
      <w:proofErr w:type="spellEnd"/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</w:t>
      </w:r>
      <w:proofErr w:type="spellStart"/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>i</w:t>
      </w:r>
      <w:proofErr w:type="spellEnd"/>
    </w:p>
    <w:p w:rsidR="00FF2ECC" w:rsidRPr="00FF2ECC" w:rsidRDefault="00FF2ECC" w:rsidP="00FF2ECC">
      <w:pPr>
        <w:pStyle w:val="Listenabsatz"/>
        <w:keepNext/>
        <w:numPr>
          <w:ilvl w:val="0"/>
          <w:numId w:val="6"/>
        </w:numPr>
        <w:spacing w:before="120" w:after="120"/>
        <w:rPr>
          <w:rFonts w:ascii="Trebuchet MS" w:eastAsia="Times New Roman" w:hAnsi="Trebuchet MS" w:cs="Times New Roman"/>
          <w:iCs/>
          <w:sz w:val="18"/>
          <w:lang w:val="en-US" w:eastAsia="en-GB"/>
        </w:rPr>
      </w:pPr>
      <w:proofErr w:type="spellStart"/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>npm</w:t>
      </w:r>
      <w:proofErr w:type="spellEnd"/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run </w:t>
      </w:r>
      <w:proofErr w:type="spellStart"/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>compile:js</w:t>
      </w:r>
      <w:proofErr w:type="spellEnd"/>
    </w:p>
    <w:p w:rsidR="00FF2ECC" w:rsidRPr="00FF2ECC" w:rsidRDefault="00FF2ECC" w:rsidP="00FF2ECC">
      <w:pPr>
        <w:pStyle w:val="Listenabsatz"/>
        <w:keepNext/>
        <w:numPr>
          <w:ilvl w:val="0"/>
          <w:numId w:val="6"/>
        </w:numPr>
        <w:spacing w:before="120" w:after="120"/>
        <w:rPr>
          <w:rFonts w:ascii="Trebuchet MS" w:eastAsia="Times New Roman" w:hAnsi="Trebuchet MS" w:cs="Times New Roman"/>
          <w:iCs/>
          <w:sz w:val="18"/>
          <w:lang w:val="en-US" w:eastAsia="en-GB"/>
        </w:rPr>
      </w:pPr>
      <w:proofErr w:type="spellStart"/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>npm</w:t>
      </w:r>
      <w:proofErr w:type="spellEnd"/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run </w:t>
      </w:r>
      <w:proofErr w:type="spellStart"/>
      <w:proofErr w:type="gramStart"/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>compile:scss</w:t>
      </w:r>
      <w:proofErr w:type="spellEnd"/>
      <w:proofErr w:type="gramEnd"/>
    </w:p>
    <w:p w:rsidR="00FF2ECC" w:rsidRDefault="00FF2ECC" w:rsidP="00FF2ECC">
      <w:pPr>
        <w:pStyle w:val="berschrift2"/>
        <w:spacing w:after="240"/>
        <w:ind w:left="1134" w:hanging="595"/>
        <w:rPr>
          <w:b w:val="0"/>
        </w:rPr>
      </w:pPr>
      <w:r w:rsidRPr="00FF2ECC">
        <w:rPr>
          <w:b w:val="0"/>
        </w:rPr>
        <w:t xml:space="preserve">Upload </w:t>
      </w:r>
      <w:proofErr w:type="spellStart"/>
      <w:r w:rsidRPr="00FF2ECC">
        <w:rPr>
          <w:b w:val="0"/>
        </w:rPr>
        <w:t>cartridges</w:t>
      </w:r>
      <w:proofErr w:type="spellEnd"/>
    </w:p>
    <w:p w:rsidR="00FF2ECC" w:rsidRPr="00FF2ECC" w:rsidRDefault="00FF2ECC" w:rsidP="00FF2ECC">
      <w:pPr>
        <w:keepNext/>
        <w:spacing w:before="120" w:after="120"/>
        <w:ind w:left="426"/>
        <w:rPr>
          <w:rFonts w:ascii="Trebuchet MS" w:eastAsia="Times New Roman" w:hAnsi="Trebuchet MS" w:cs="Times New Roman"/>
          <w:iCs/>
          <w:sz w:val="18"/>
          <w:lang w:val="en-US" w:eastAsia="en-GB"/>
        </w:rPr>
      </w:pPr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As described in the </w:t>
      </w:r>
      <w:proofErr w:type="spellStart"/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>sitegenesis</w:t>
      </w:r>
      <w:proofErr w:type="spellEnd"/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integration guide deploy the cartridges either using your automatic deployment or upload them manually via an IDE e.g. Eclipse.</w:t>
      </w:r>
    </w:p>
    <w:p w:rsidR="00FF2ECC" w:rsidRDefault="00FF2ECC" w:rsidP="00FF2ECC">
      <w:pPr>
        <w:pStyle w:val="berschrift2"/>
        <w:spacing w:after="240"/>
        <w:ind w:left="1134" w:hanging="595"/>
        <w:rPr>
          <w:b w:val="0"/>
        </w:rPr>
      </w:pPr>
      <w:proofErr w:type="spellStart"/>
      <w:r w:rsidRPr="00FF2ECC">
        <w:rPr>
          <w:b w:val="0"/>
        </w:rPr>
        <w:t>Assign</w:t>
      </w:r>
      <w:proofErr w:type="spellEnd"/>
      <w:r w:rsidRPr="00FF2ECC">
        <w:rPr>
          <w:b w:val="0"/>
        </w:rPr>
        <w:t xml:space="preserve"> </w:t>
      </w:r>
      <w:proofErr w:type="spellStart"/>
      <w:r w:rsidRPr="00FF2ECC">
        <w:rPr>
          <w:b w:val="0"/>
        </w:rPr>
        <w:t>cartridges</w:t>
      </w:r>
      <w:proofErr w:type="spellEnd"/>
    </w:p>
    <w:p w:rsidR="00FF2ECC" w:rsidRDefault="00FF2ECC" w:rsidP="00FF2ECC">
      <w:pPr>
        <w:keepNext/>
        <w:spacing w:before="120" w:after="120"/>
        <w:ind w:left="426"/>
        <w:rPr>
          <w:rFonts w:ascii="Trebuchet MS" w:eastAsia="Times New Roman" w:hAnsi="Trebuchet MS" w:cs="Times New Roman"/>
          <w:iCs/>
          <w:sz w:val="18"/>
          <w:lang w:val="en-US" w:eastAsia="en-GB"/>
        </w:rPr>
      </w:pPr>
      <w:r w:rsidRPr="00FF2ECC">
        <w:rPr>
          <w:rFonts w:ascii="Trebuchet MS" w:eastAsia="Times New Roman" w:hAnsi="Trebuchet MS" w:cs="Times New Roman"/>
          <w:iCs/>
          <w:sz w:val="18"/>
          <w:lang w:val="en-US" w:eastAsia="en-GB"/>
        </w:rPr>
        <w:t>In the business manager follow these steps:</w:t>
      </w:r>
    </w:p>
    <w:p w:rsidR="00FF2ECC" w:rsidRDefault="00FF2ECC" w:rsidP="00FF2ECC">
      <w:pPr>
        <w:pStyle w:val="Listenabsatz"/>
        <w:keepNext/>
        <w:numPr>
          <w:ilvl w:val="0"/>
          <w:numId w:val="7"/>
        </w:numPr>
        <w:spacing w:before="120" w:after="120"/>
        <w:rPr>
          <w:rFonts w:ascii="Trebuchet MS" w:eastAsia="Times New Roman" w:hAnsi="Trebuchet MS" w:cs="Times New Roman"/>
          <w:iCs/>
          <w:sz w:val="18"/>
          <w:lang w:val="en-US" w:eastAsia="en-GB"/>
        </w:rPr>
      </w:pPr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>Navigate to Administration &gt; Sites &gt; Manage Sites</w:t>
      </w:r>
    </w:p>
    <w:p w:rsidR="00FF2ECC" w:rsidRDefault="00FF2ECC" w:rsidP="00FF2ECC">
      <w:pPr>
        <w:pStyle w:val="Listenabsatz"/>
        <w:keepNext/>
        <w:numPr>
          <w:ilvl w:val="0"/>
          <w:numId w:val="7"/>
        </w:numPr>
        <w:spacing w:before="120" w:after="120"/>
        <w:rPr>
          <w:rFonts w:ascii="Trebuchet MS" w:eastAsia="Times New Roman" w:hAnsi="Trebuchet MS" w:cs="Times New Roman"/>
          <w:iCs/>
          <w:sz w:val="18"/>
          <w:lang w:val="en-US" w:eastAsia="en-GB"/>
        </w:rPr>
      </w:pPr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Choose the tab “Settings” of the site where you wish to add </w:t>
      </w:r>
      <w:proofErr w:type="spellStart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>Wirecard</w:t>
      </w:r>
      <w:proofErr w:type="spellEnd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Payment Gateway cartridges</w:t>
      </w:r>
    </w:p>
    <w:p w:rsidR="00FF2ECC" w:rsidRDefault="00FF2ECC" w:rsidP="00FF2ECC">
      <w:pPr>
        <w:pStyle w:val="Listenabsatz"/>
        <w:keepNext/>
        <w:numPr>
          <w:ilvl w:val="0"/>
          <w:numId w:val="7"/>
        </w:numPr>
        <w:spacing w:before="120" w:after="120"/>
        <w:rPr>
          <w:rFonts w:ascii="Trebuchet MS" w:eastAsia="Times New Roman" w:hAnsi="Trebuchet MS" w:cs="Times New Roman"/>
          <w:iCs/>
          <w:sz w:val="18"/>
          <w:lang w:val="en-US" w:eastAsia="en-GB"/>
        </w:rPr>
      </w:pPr>
      <w:proofErr w:type="gramStart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Append </w:t>
      </w:r>
      <w:r w:rsidRPr="00FF2ECC">
        <w:rPr>
          <w:rFonts w:ascii="Trebuchet MS" w:eastAsia="Times New Roman" w:hAnsi="Trebuchet MS" w:cs="Times New Roman"/>
          <w:b/>
          <w:bCs/>
          <w:iCs/>
          <w:sz w:val="18"/>
          <w:lang w:val="en-US" w:eastAsia="en-GB"/>
        </w:rPr>
        <w:t>:</w:t>
      </w:r>
      <w:proofErr w:type="spellStart"/>
      <w:r w:rsidRPr="00FF2ECC">
        <w:rPr>
          <w:rFonts w:ascii="Trebuchet MS" w:eastAsia="Times New Roman" w:hAnsi="Trebuchet MS" w:cs="Times New Roman"/>
          <w:b/>
          <w:bCs/>
          <w:iCs/>
          <w:sz w:val="18"/>
          <w:lang w:val="en-US" w:eastAsia="en-GB"/>
        </w:rPr>
        <w:t>int</w:t>
      </w:r>
      <w:proofErr w:type="gramEnd"/>
      <w:r w:rsidRPr="00FF2ECC">
        <w:rPr>
          <w:rFonts w:ascii="Trebuchet MS" w:eastAsia="Times New Roman" w:hAnsi="Trebuchet MS" w:cs="Times New Roman"/>
          <w:b/>
          <w:bCs/>
          <w:iCs/>
          <w:sz w:val="18"/>
          <w:lang w:val="en-US" w:eastAsia="en-GB"/>
        </w:rPr>
        <w:t>_wirecard_sfra:int_wirecard_core</w:t>
      </w:r>
      <w:proofErr w:type="spellEnd"/>
      <w:r>
        <w:rPr>
          <w:rFonts w:ascii="Trebuchet MS" w:eastAsia="Times New Roman" w:hAnsi="Trebuchet MS" w:cs="Times New Roman"/>
          <w:iCs/>
          <w:sz w:val="18"/>
          <w:lang w:val="en-US" w:eastAsia="en-GB"/>
        </w:rPr>
        <w:t xml:space="preserve"> to the cartridge path.</w:t>
      </w:r>
    </w:p>
    <w:p w:rsidR="00406A8C" w:rsidRDefault="00406A8C">
      <w:pPr>
        <w:rPr>
          <w:rFonts w:ascii="Trebuchet MS" w:eastAsia="Times New Roman" w:hAnsi="Trebuchet MS" w:cs="Times New Roman"/>
          <w:iCs/>
          <w:sz w:val="18"/>
          <w:lang w:val="en-US" w:eastAsia="en-GB"/>
        </w:rPr>
      </w:pPr>
      <w:r>
        <w:rPr>
          <w:rFonts w:ascii="Trebuchet MS" w:eastAsia="Times New Roman" w:hAnsi="Trebuchet MS" w:cs="Times New Roman"/>
          <w:iCs/>
          <w:sz w:val="18"/>
          <w:lang w:val="en-US" w:eastAsia="en-GB"/>
        </w:rPr>
        <w:br w:type="page"/>
      </w:r>
    </w:p>
    <w:p w:rsidR="00FF2ECC" w:rsidRDefault="00406A8C" w:rsidP="00406A8C">
      <w:pPr>
        <w:pStyle w:val="berschrift1"/>
        <w:numPr>
          <w:ilvl w:val="0"/>
          <w:numId w:val="1"/>
        </w:numPr>
        <w:rPr>
          <w:sz w:val="28"/>
          <w:szCs w:val="28"/>
          <w:lang w:val="en-US"/>
        </w:rPr>
      </w:pPr>
      <w:r w:rsidRPr="00406A8C">
        <w:rPr>
          <w:sz w:val="28"/>
          <w:szCs w:val="28"/>
          <w:lang w:val="en-US"/>
        </w:rPr>
        <w:lastRenderedPageBreak/>
        <w:t>Release History</w:t>
      </w:r>
    </w:p>
    <w:p w:rsidR="00406A8C" w:rsidRDefault="00406A8C" w:rsidP="00406A8C">
      <w:pPr>
        <w:pStyle w:val="Standard1"/>
        <w:rPr>
          <w:lang w:val="en-US"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942"/>
      </w:tblGrid>
      <w:tr w:rsidR="00406A8C" w:rsidTr="00406A8C">
        <w:tc>
          <w:tcPr>
            <w:tcW w:w="1413" w:type="dxa"/>
          </w:tcPr>
          <w:p w:rsidR="00406A8C" w:rsidRDefault="00406A8C" w:rsidP="00406A8C">
            <w:pPr>
              <w:pStyle w:val="Standard1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701" w:type="dxa"/>
          </w:tcPr>
          <w:p w:rsidR="00406A8C" w:rsidRDefault="00406A8C" w:rsidP="00406A8C">
            <w:pPr>
              <w:pStyle w:val="Standard1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942" w:type="dxa"/>
          </w:tcPr>
          <w:p w:rsidR="00406A8C" w:rsidRDefault="00406A8C" w:rsidP="00406A8C">
            <w:pPr>
              <w:pStyle w:val="Standard1"/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406A8C" w:rsidTr="00406A8C">
        <w:tc>
          <w:tcPr>
            <w:tcW w:w="1413" w:type="dxa"/>
          </w:tcPr>
          <w:p w:rsidR="00406A8C" w:rsidRDefault="00406A8C" w:rsidP="00406A8C">
            <w:pPr>
              <w:pStyle w:val="Standard1"/>
              <w:rPr>
                <w:lang w:val="en-US"/>
              </w:rPr>
            </w:pPr>
            <w:r>
              <w:rPr>
                <w:lang w:val="en-US"/>
              </w:rPr>
              <w:t>19.1.0</w:t>
            </w:r>
          </w:p>
        </w:tc>
        <w:tc>
          <w:tcPr>
            <w:tcW w:w="1701" w:type="dxa"/>
          </w:tcPr>
          <w:p w:rsidR="00406A8C" w:rsidRDefault="00406A8C" w:rsidP="00406A8C">
            <w:pPr>
              <w:pStyle w:val="Standard1"/>
              <w:rPr>
                <w:lang w:val="en-US"/>
              </w:rPr>
            </w:pPr>
            <w:r>
              <w:rPr>
                <w:lang w:val="en-US"/>
              </w:rPr>
              <w:t>10.06.2019</w:t>
            </w:r>
          </w:p>
        </w:tc>
        <w:tc>
          <w:tcPr>
            <w:tcW w:w="5942" w:type="dxa"/>
          </w:tcPr>
          <w:p w:rsidR="00406A8C" w:rsidRDefault="00406A8C" w:rsidP="00406A8C">
            <w:pPr>
              <w:pStyle w:val="Standard1"/>
              <w:rPr>
                <w:lang w:val="en-US"/>
              </w:rPr>
            </w:pPr>
            <w:r>
              <w:rPr>
                <w:lang w:val="en-US"/>
              </w:rPr>
              <w:t>Initial Release wit</w:t>
            </w:r>
            <w:bookmarkStart w:id="0" w:name="_GoBack"/>
            <w:bookmarkEnd w:id="0"/>
            <w:r>
              <w:rPr>
                <w:lang w:val="en-US"/>
              </w:rPr>
              <w:t>h payment methods:</w:t>
            </w:r>
          </w:p>
          <w:p w:rsidR="00406A8C" w:rsidRPr="00406A8C" w:rsidRDefault="00406A8C" w:rsidP="00406A8C">
            <w:pPr>
              <w:pStyle w:val="Listenabsatz"/>
              <w:keepNext/>
              <w:numPr>
                <w:ilvl w:val="0"/>
                <w:numId w:val="6"/>
              </w:numPr>
              <w:spacing w:before="120" w:after="120"/>
              <w:rPr>
                <w:sz w:val="22"/>
                <w:szCs w:val="22"/>
                <w:lang w:val="en-US"/>
              </w:rPr>
            </w:pPr>
            <w:r w:rsidRPr="00406A8C">
              <w:rPr>
                <w:sz w:val="22"/>
                <w:szCs w:val="22"/>
                <w:lang w:val="en-US"/>
              </w:rPr>
              <w:t>Credit Card</w:t>
            </w:r>
          </w:p>
          <w:p w:rsidR="00406A8C" w:rsidRPr="00406A8C" w:rsidRDefault="00406A8C" w:rsidP="00406A8C">
            <w:pPr>
              <w:pStyle w:val="Listenabsatz"/>
              <w:keepNext/>
              <w:numPr>
                <w:ilvl w:val="0"/>
                <w:numId w:val="6"/>
              </w:numPr>
              <w:spacing w:before="120" w:after="120"/>
              <w:rPr>
                <w:sz w:val="22"/>
                <w:szCs w:val="22"/>
                <w:lang w:val="en-US"/>
              </w:rPr>
            </w:pPr>
            <w:r w:rsidRPr="00406A8C">
              <w:rPr>
                <w:sz w:val="22"/>
                <w:szCs w:val="22"/>
                <w:lang w:val="en-US"/>
              </w:rPr>
              <w:t>PayPal</w:t>
            </w:r>
          </w:p>
          <w:p w:rsidR="00406A8C" w:rsidRPr="00406A8C" w:rsidRDefault="00406A8C" w:rsidP="00406A8C">
            <w:pPr>
              <w:pStyle w:val="Listenabsatz"/>
              <w:keepNext/>
              <w:numPr>
                <w:ilvl w:val="0"/>
                <w:numId w:val="6"/>
              </w:numPr>
              <w:spacing w:before="120" w:after="120"/>
              <w:rPr>
                <w:sz w:val="22"/>
                <w:szCs w:val="22"/>
                <w:lang w:val="en-US"/>
              </w:rPr>
            </w:pPr>
            <w:r w:rsidRPr="00406A8C">
              <w:rPr>
                <w:sz w:val="22"/>
                <w:szCs w:val="22"/>
                <w:lang w:val="en-US"/>
              </w:rPr>
              <w:t>SEPA Direct Debit</w:t>
            </w:r>
          </w:p>
          <w:p w:rsidR="00406A8C" w:rsidRDefault="00406A8C" w:rsidP="00406A8C">
            <w:pPr>
              <w:pStyle w:val="Listenabsatz"/>
              <w:keepNext/>
              <w:numPr>
                <w:ilvl w:val="0"/>
                <w:numId w:val="6"/>
              </w:numPr>
              <w:spacing w:before="120" w:after="120"/>
              <w:rPr>
                <w:lang w:val="en-US"/>
              </w:rPr>
            </w:pPr>
            <w:proofErr w:type="spellStart"/>
            <w:r w:rsidRPr="00406A8C">
              <w:rPr>
                <w:sz w:val="22"/>
                <w:szCs w:val="22"/>
                <w:lang w:val="en-US"/>
              </w:rPr>
              <w:t>Sofort</w:t>
            </w:r>
            <w:proofErr w:type="spellEnd"/>
            <w:r w:rsidRPr="00406A8C">
              <w:rPr>
                <w:sz w:val="22"/>
                <w:szCs w:val="22"/>
                <w:lang w:val="en-US"/>
              </w:rPr>
              <w:t>.</w:t>
            </w:r>
          </w:p>
        </w:tc>
      </w:tr>
      <w:tr w:rsidR="00406A8C" w:rsidTr="00406A8C">
        <w:tc>
          <w:tcPr>
            <w:tcW w:w="1413" w:type="dxa"/>
          </w:tcPr>
          <w:p w:rsidR="00406A8C" w:rsidRDefault="00406A8C" w:rsidP="00406A8C">
            <w:pPr>
              <w:pStyle w:val="Standard1"/>
              <w:rPr>
                <w:lang w:val="en-US"/>
              </w:rPr>
            </w:pPr>
          </w:p>
        </w:tc>
        <w:tc>
          <w:tcPr>
            <w:tcW w:w="1701" w:type="dxa"/>
          </w:tcPr>
          <w:p w:rsidR="00406A8C" w:rsidRDefault="00406A8C" w:rsidP="00406A8C">
            <w:pPr>
              <w:pStyle w:val="Standard1"/>
              <w:rPr>
                <w:lang w:val="en-US"/>
              </w:rPr>
            </w:pPr>
          </w:p>
        </w:tc>
        <w:tc>
          <w:tcPr>
            <w:tcW w:w="5942" w:type="dxa"/>
          </w:tcPr>
          <w:p w:rsidR="00406A8C" w:rsidRDefault="00406A8C" w:rsidP="00406A8C">
            <w:pPr>
              <w:pStyle w:val="Standard1"/>
              <w:rPr>
                <w:lang w:val="en-US"/>
              </w:rPr>
            </w:pPr>
          </w:p>
        </w:tc>
      </w:tr>
    </w:tbl>
    <w:p w:rsidR="00406A8C" w:rsidRPr="00406A8C" w:rsidRDefault="00406A8C" w:rsidP="00406A8C">
      <w:pPr>
        <w:pStyle w:val="Standard1"/>
        <w:rPr>
          <w:lang w:val="en-US"/>
        </w:rPr>
      </w:pPr>
    </w:p>
    <w:sectPr w:rsidR="00406A8C" w:rsidRPr="00406A8C" w:rsidSect="00851C13">
      <w:footerReference w:type="default" r:id="rId8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A8D" w:rsidRDefault="00885A8D" w:rsidP="00851C13">
      <w:r>
        <w:separator/>
      </w:r>
    </w:p>
  </w:endnote>
  <w:endnote w:type="continuationSeparator" w:id="0">
    <w:p w:rsidR="00885A8D" w:rsidRDefault="00885A8D" w:rsidP="00851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Questrial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13" w:rsidRPr="00851C13" w:rsidRDefault="00851C13">
    <w:pPr>
      <w:pStyle w:val="Fuzeile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-54844</wp:posOffset>
              </wp:positionH>
              <wp:positionV relativeFrom="paragraph">
                <wp:posOffset>-10940</wp:posOffset>
              </wp:positionV>
              <wp:extent cx="5903089" cy="0"/>
              <wp:effectExtent l="0" t="0" r="15240" b="1270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308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EB1B4A" id="Gerade Verbindu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-.85pt" to="460.5pt,-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" strokecolor="#4472c4 [3204]" strokeweight=".5pt">
              <v:stroke joinstyle="miter"/>
            </v:line>
          </w:pict>
        </mc:Fallback>
      </mc:AlternateContent>
    </w:r>
    <w:proofErr w:type="spellStart"/>
    <w:r w:rsidRPr="00851C13">
      <w:rPr>
        <w:lang w:val="en-US"/>
      </w:rPr>
      <w:t>Wirecard</w:t>
    </w:r>
    <w:proofErr w:type="spellEnd"/>
    <w:r w:rsidRPr="00851C13">
      <w:rPr>
        <w:lang w:val="en-US"/>
      </w:rPr>
      <w:t xml:space="preserve"> Payment Gateway Integration (</w:t>
    </w:r>
    <w:proofErr w:type="spellStart"/>
    <w:r w:rsidRPr="00851C13">
      <w:rPr>
        <w:lang w:val="en-US"/>
      </w:rPr>
      <w:t>sfra</w:t>
    </w:r>
    <w:proofErr w:type="spellEnd"/>
    <w:r w:rsidRPr="00851C13">
      <w:rPr>
        <w:lang w:val="en-US"/>
      </w:rPr>
      <w:t>)</w:t>
    </w:r>
    <w:r>
      <w:rPr>
        <w:lang w:val="en-US"/>
      </w:rPr>
      <w:tab/>
    </w:r>
    <w:r>
      <w:rPr>
        <w:lang w:val="en-US"/>
      </w:rPr>
      <w:tab/>
      <w:t xml:space="preserve"> Page </w:t>
    </w:r>
    <w:r>
      <w:rPr>
        <w:lang w:val="en-US"/>
      </w:rPr>
      <w:fldChar w:fldCharType="begin"/>
    </w:r>
    <w:r>
      <w:rPr>
        <w:lang w:val="en-US"/>
      </w:rPr>
      <w:instrText xml:space="preserve"> PAGE  \* MERGEFORMAT </w:instrText>
    </w:r>
    <w:r>
      <w:rPr>
        <w:lang w:val="en-US"/>
      </w:rPr>
      <w:fldChar w:fldCharType="separate"/>
    </w:r>
    <w:r>
      <w:rPr>
        <w:noProof/>
        <w:lang w:val="en-US"/>
      </w:rPr>
      <w:t>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A8D" w:rsidRDefault="00885A8D" w:rsidP="00851C13">
      <w:r>
        <w:separator/>
      </w:r>
    </w:p>
  </w:footnote>
  <w:footnote w:type="continuationSeparator" w:id="0">
    <w:p w:rsidR="00885A8D" w:rsidRDefault="00885A8D" w:rsidP="00851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95473"/>
    <w:multiLevelType w:val="hybridMultilevel"/>
    <w:tmpl w:val="3FC4CE9E"/>
    <w:lvl w:ilvl="0" w:tplc="8018B354">
      <w:start w:val="2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3424B58"/>
    <w:multiLevelType w:val="hybridMultilevel"/>
    <w:tmpl w:val="5A968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97DA7"/>
    <w:multiLevelType w:val="hybridMultilevel"/>
    <w:tmpl w:val="74C08D66"/>
    <w:lvl w:ilvl="0" w:tplc="260E53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4B36D86"/>
    <w:multiLevelType w:val="multilevel"/>
    <w:tmpl w:val="1D6E4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13"/>
    <w:rsid w:val="000C0376"/>
    <w:rsid w:val="002C43C7"/>
    <w:rsid w:val="00406A8C"/>
    <w:rsid w:val="007F0E78"/>
    <w:rsid w:val="00851C13"/>
    <w:rsid w:val="00885A8D"/>
    <w:rsid w:val="009364D9"/>
    <w:rsid w:val="00C97DEF"/>
    <w:rsid w:val="00CB71DB"/>
    <w:rsid w:val="00E32CA1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C873F"/>
  <w15:chartTrackingRefBased/>
  <w15:docId w15:val="{35223D99-9F81-AC41-BF17-693ACCDD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link w:val="berschrift1Zchn"/>
    <w:rsid w:val="000C0376"/>
    <w:pPr>
      <w:spacing w:before="480" w:after="0"/>
      <w:contextualSpacing/>
      <w:outlineLvl w:val="0"/>
    </w:pPr>
    <w:rPr>
      <w:rFonts w:ascii="Cambria" w:eastAsia="Cambria" w:hAnsi="Cambria" w:cs="Cambria"/>
      <w:b/>
      <w:color w:val="366091"/>
      <w:sz w:val="24"/>
      <w:szCs w:val="24"/>
    </w:rPr>
  </w:style>
  <w:style w:type="paragraph" w:styleId="berschrift2">
    <w:name w:val="heading 2"/>
    <w:basedOn w:val="Standard1"/>
    <w:next w:val="Standard1"/>
    <w:link w:val="berschrift2Zchn"/>
    <w:qFormat/>
    <w:rsid w:val="00FF2ECC"/>
    <w:pPr>
      <w:numPr>
        <w:ilvl w:val="1"/>
        <w:numId w:val="1"/>
      </w:numPr>
      <w:spacing w:before="200" w:after="0"/>
      <w:outlineLvl w:val="1"/>
    </w:pPr>
    <w:rPr>
      <w:rFonts w:ascii="Questrial" w:eastAsia="Questrial" w:hAnsi="Questrial" w:cs="Questrial"/>
      <w:b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1C1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1C13"/>
    <w:rPr>
      <w:rFonts w:ascii="Times New Roman" w:hAnsi="Times New Roman" w:cs="Times New Roman"/>
      <w:sz w:val="18"/>
      <w:szCs w:val="18"/>
    </w:rPr>
  </w:style>
  <w:style w:type="paragraph" w:styleId="Titel">
    <w:name w:val="Title"/>
    <w:basedOn w:val="Standard"/>
    <w:next w:val="Standard"/>
    <w:link w:val="TitelZchn"/>
    <w:rsid w:val="00851C13"/>
    <w:pPr>
      <w:widowControl w:val="0"/>
      <w:spacing w:after="200"/>
    </w:pPr>
    <w:rPr>
      <w:rFonts w:ascii="Cambria" w:eastAsia="Cambria" w:hAnsi="Cambria" w:cs="Cambria"/>
      <w:color w:val="000000"/>
      <w:sz w:val="52"/>
      <w:szCs w:val="52"/>
      <w:lang w:eastAsia="de-DE"/>
    </w:rPr>
  </w:style>
  <w:style w:type="character" w:customStyle="1" w:styleId="TitelZchn">
    <w:name w:val="Titel Zchn"/>
    <w:basedOn w:val="Absatz-Standardschriftart"/>
    <w:link w:val="Titel"/>
    <w:rsid w:val="00851C13"/>
    <w:rPr>
      <w:rFonts w:ascii="Cambria" w:eastAsia="Cambria" w:hAnsi="Cambria" w:cs="Cambria"/>
      <w:color w:val="000000"/>
      <w:sz w:val="52"/>
      <w:szCs w:val="52"/>
      <w:lang w:eastAsia="de-DE"/>
    </w:rPr>
  </w:style>
  <w:style w:type="paragraph" w:customStyle="1" w:styleId="Standard1">
    <w:name w:val="Standard1"/>
    <w:qFormat/>
    <w:rsid w:val="00851C13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851C1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51C13"/>
  </w:style>
  <w:style w:type="paragraph" w:styleId="Fuzeile">
    <w:name w:val="footer"/>
    <w:basedOn w:val="Standard"/>
    <w:link w:val="FuzeileZchn"/>
    <w:uiPriority w:val="99"/>
    <w:unhideWhenUsed/>
    <w:rsid w:val="00851C1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51C13"/>
  </w:style>
  <w:style w:type="paragraph" w:styleId="Listenabsatz">
    <w:name w:val="List Paragraph"/>
    <w:basedOn w:val="Standard"/>
    <w:uiPriority w:val="34"/>
    <w:qFormat/>
    <w:rsid w:val="000C037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0C0376"/>
    <w:rPr>
      <w:rFonts w:ascii="Cambria" w:eastAsia="Cambria" w:hAnsi="Cambria" w:cs="Cambria"/>
      <w:b/>
      <w:color w:val="366091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FF2ECC"/>
    <w:rPr>
      <w:rFonts w:ascii="Questrial" w:eastAsia="Questrial" w:hAnsi="Questrial" w:cs="Questrial"/>
      <w:b/>
      <w:color w:val="000000"/>
      <w:sz w:val="28"/>
      <w:szCs w:val="28"/>
      <w:lang w:eastAsia="de-DE"/>
    </w:rPr>
  </w:style>
  <w:style w:type="table" w:styleId="Tabellenraster">
    <w:name w:val="Table Grid"/>
    <w:basedOn w:val="NormaleTabelle"/>
    <w:uiPriority w:val="39"/>
    <w:rsid w:val="00406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406A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Ninse - dotSource GmbH</dc:creator>
  <cp:keywords/>
  <dc:description/>
  <cp:lastModifiedBy>Sebastian Ninse - dotSource GmbH</cp:lastModifiedBy>
  <cp:revision>6</cp:revision>
  <dcterms:created xsi:type="dcterms:W3CDTF">2019-06-10T08:00:00Z</dcterms:created>
  <dcterms:modified xsi:type="dcterms:W3CDTF">2019-06-10T10:26:00Z</dcterms:modified>
</cp:coreProperties>
</file>