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E2685" w14:textId="77777777" w:rsidR="006B69EA" w:rsidRDefault="006B69EA">
      <w:pPr>
        <w:rPr>
          <w:b/>
        </w:rPr>
      </w:pPr>
      <w:r>
        <w:rPr>
          <w:b/>
        </w:rPr>
        <w:t xml:space="preserve">The </w:t>
      </w:r>
      <w:proofErr w:type="spellStart"/>
      <w:proofErr w:type="gramStart"/>
      <w:r>
        <w:rPr>
          <w:b/>
        </w:rPr>
        <w:t>Devel</w:t>
      </w:r>
      <w:proofErr w:type="spellEnd"/>
      <w:r>
        <w:rPr>
          <w:b/>
        </w:rPr>
        <w:t>(</w:t>
      </w:r>
      <w:proofErr w:type="spellStart"/>
      <w:proofErr w:type="gramEnd"/>
      <w:r>
        <w:rPr>
          <w:b/>
        </w:rPr>
        <w:t>opment</w:t>
      </w:r>
      <w:proofErr w:type="spellEnd"/>
      <w:r>
        <w:rPr>
          <w:b/>
        </w:rPr>
        <w:t>) is in the Details: A Detailed Look into our Metrics</w:t>
      </w:r>
    </w:p>
    <w:p w14:paraId="13F877E3" w14:textId="77777777" w:rsidR="006B69EA" w:rsidRDefault="006B69EA">
      <w:pPr>
        <w:rPr>
          <w:b/>
        </w:rPr>
      </w:pPr>
    </w:p>
    <w:p w14:paraId="5396E9F4" w14:textId="033F2792" w:rsidR="006B69EA" w:rsidRDefault="00033E55">
      <w:r>
        <w:t>In parts 1 and 2 of this series, we explored how the robust, timely, and valid collection of output data enhances</w:t>
      </w:r>
      <w:r w:rsidR="00F04A2B">
        <w:t xml:space="preserve"> transparency and collaboration, </w:t>
      </w:r>
      <w:r>
        <w:t>lead to better outcomes</w:t>
      </w:r>
      <w:r w:rsidR="00F04A2B">
        <w:t>, and even support claims of causality.  In this last part of the series, we invite the reader to take a deeper dive with us into our scorecard methodology.  Throughout this discussion, we’ll be using the actual data we collected throughout our review of donor sites and their project documentation.</w:t>
      </w:r>
      <w:r w:rsidR="008F4684">
        <w:t xml:space="preserve">  Please note that </w:t>
      </w:r>
      <w:r w:rsidR="00C67767">
        <w:t xml:space="preserve">although we will discuss </w:t>
      </w:r>
      <w:r w:rsidR="008F4684">
        <w:t xml:space="preserve">ways in which donors struggle to meet the ideal system standards outlines in part 1, our intention throughout the entire process was not to name and shame; rather, </w:t>
      </w:r>
      <w:r w:rsidR="00C67767">
        <w:t>we do this to highlight opportunities for learning and growth and to hel</w:t>
      </w:r>
      <w:r w:rsidR="00CF19A9">
        <w:t>p donors identify concrete steps they can take to improve operations and bring about better development results.</w:t>
      </w:r>
      <w:r w:rsidR="00C67767">
        <w:t xml:space="preserve"> </w:t>
      </w:r>
    </w:p>
    <w:p w14:paraId="057F0D08" w14:textId="77777777" w:rsidR="003C6168" w:rsidRDefault="003C6168">
      <w:pPr>
        <w:rPr>
          <w:b/>
        </w:rPr>
      </w:pPr>
    </w:p>
    <w:p w14:paraId="670265B3" w14:textId="5F6081AC" w:rsidR="00B303AE" w:rsidRDefault="00B303AE">
      <w:pPr>
        <w:rPr>
          <w:b/>
        </w:rPr>
      </w:pPr>
      <w:r w:rsidRPr="002F15D3">
        <w:rPr>
          <w:b/>
        </w:rPr>
        <w:t>Operationalization</w:t>
      </w:r>
    </w:p>
    <w:p w14:paraId="76238C93" w14:textId="77777777" w:rsidR="003C6168" w:rsidRDefault="003C6168">
      <w:pPr>
        <w:rPr>
          <w:b/>
        </w:rPr>
      </w:pPr>
    </w:p>
    <w:p w14:paraId="18E06F2F" w14:textId="60247BCC" w:rsidR="003C6168" w:rsidRPr="003C6168" w:rsidRDefault="003C6168" w:rsidP="003C6168">
      <w:r>
        <w:t xml:space="preserve">Having settled on our criteria outlined in Part 2 of </w:t>
      </w:r>
      <w:hyperlink r:id="rId6" w:history="1">
        <w:r w:rsidRPr="0035777B">
          <w:rPr>
            <w:rStyle w:val="Hyperlink"/>
          </w:rPr>
          <w:t>the series</w:t>
        </w:r>
      </w:hyperlink>
      <w:r>
        <w:t>, we moved on to operationalizing a way to generate a score for each element in the most objective and transparent manner possible.</w:t>
      </w:r>
    </w:p>
    <w:p w14:paraId="75162028" w14:textId="77777777" w:rsidR="003C6168" w:rsidRDefault="003C6168" w:rsidP="003C6168">
      <w:pPr>
        <w:rPr>
          <w:b/>
        </w:rPr>
      </w:pPr>
    </w:p>
    <w:p w14:paraId="6CDCA6AC" w14:textId="1D71E0C3" w:rsidR="003C6168" w:rsidRDefault="003C6168" w:rsidP="003C6168">
      <w:r>
        <w:t>Maintaining scoring consistency as we evaluated 16 radically different M&amp;E systems was a critical concern.  To promote fair scoring, we attempted to keep scales for each criterion as objective as possible.  Examples of our efforts to minimize subjectivity include:</w:t>
      </w:r>
      <w:r>
        <w:br/>
      </w:r>
    </w:p>
    <w:p w14:paraId="67F31655" w14:textId="77777777" w:rsidR="003C6168" w:rsidRDefault="003C6168" w:rsidP="003C6168">
      <w:pPr>
        <w:pStyle w:val="ListParagraph"/>
        <w:numPr>
          <w:ilvl w:val="0"/>
          <w:numId w:val="1"/>
        </w:numPr>
      </w:pPr>
      <w:r>
        <w:t>Using quantitative measures like percentages and counts whenever possible</w:t>
      </w:r>
    </w:p>
    <w:p w14:paraId="73ACB2D6" w14:textId="77777777" w:rsidR="003C6168" w:rsidRDefault="003C6168" w:rsidP="003C6168">
      <w:pPr>
        <w:pStyle w:val="ListParagraph"/>
        <w:numPr>
          <w:ilvl w:val="0"/>
          <w:numId w:val="1"/>
        </w:numPr>
      </w:pPr>
      <w:r>
        <w:t>Focusing more on the existence of tools and policies rather than their quality</w:t>
      </w:r>
    </w:p>
    <w:p w14:paraId="4355B487" w14:textId="77777777" w:rsidR="003C6168" w:rsidRDefault="003C6168" w:rsidP="003C6168">
      <w:pPr>
        <w:pStyle w:val="ListParagraph"/>
        <w:numPr>
          <w:ilvl w:val="0"/>
          <w:numId w:val="1"/>
        </w:numPr>
      </w:pPr>
      <w:r>
        <w:t>Avoiding ambiguous measures like “high/low,” or “good/bad”</w:t>
      </w:r>
    </w:p>
    <w:p w14:paraId="49FB7164" w14:textId="77777777" w:rsidR="003C6168" w:rsidRDefault="003C6168" w:rsidP="003C6168">
      <w:pPr>
        <w:pStyle w:val="ListParagraph"/>
        <w:numPr>
          <w:ilvl w:val="0"/>
          <w:numId w:val="1"/>
        </w:numPr>
      </w:pPr>
      <w:r>
        <w:t>Avoiding normative statements and value judgments, such as “DPs should” or “the most important”</w:t>
      </w:r>
    </w:p>
    <w:p w14:paraId="4E39D4B5" w14:textId="77777777" w:rsidR="003C6168" w:rsidRDefault="003C6168" w:rsidP="003C6168">
      <w:pPr>
        <w:pStyle w:val="ListParagraph"/>
        <w:numPr>
          <w:ilvl w:val="0"/>
          <w:numId w:val="1"/>
        </w:numPr>
      </w:pPr>
      <w:r>
        <w:t>Constructing a terminology reference for commonly used phrases such as “outcome,” “output,” “geospatial,” and “open.”</w:t>
      </w:r>
    </w:p>
    <w:p w14:paraId="1BA1F341" w14:textId="77777777" w:rsidR="003C6168" w:rsidRDefault="003C6168" w:rsidP="003C6168">
      <w:r w:rsidRPr="00E2013A">
        <w:rPr>
          <w:b/>
        </w:rPr>
        <w:br/>
      </w:r>
      <w:r>
        <w:t>At continuation is a summary of the operationalization of our scoring mechanism.</w:t>
      </w:r>
    </w:p>
    <w:p w14:paraId="2EFDD3BD" w14:textId="77777777" w:rsidR="003C6168" w:rsidRDefault="003C6168" w:rsidP="003C6168"/>
    <w:p w14:paraId="5AB0CC4E" w14:textId="77777777" w:rsidR="003C6168" w:rsidRPr="00A82482" w:rsidRDefault="003C6168" w:rsidP="003C6168">
      <w:pPr>
        <w:rPr>
          <w:u w:val="single"/>
        </w:rPr>
      </w:pPr>
      <w:r>
        <w:rPr>
          <w:u w:val="single"/>
        </w:rPr>
        <w:t xml:space="preserve">Table 2: Doctoring our Scores- How we </w:t>
      </w:r>
      <w:proofErr w:type="gramStart"/>
      <w:r>
        <w:rPr>
          <w:u w:val="single"/>
        </w:rPr>
        <w:t>Operate</w:t>
      </w:r>
      <w:proofErr w:type="gramEnd"/>
      <w:r>
        <w:rPr>
          <w:u w:val="single"/>
        </w:rPr>
        <w:br/>
      </w:r>
    </w:p>
    <w:tbl>
      <w:tblPr>
        <w:tblStyle w:val="TableGrid"/>
        <w:tblW w:w="9288" w:type="dxa"/>
        <w:tblLayout w:type="fixed"/>
        <w:tblLook w:val="04A0" w:firstRow="1" w:lastRow="0" w:firstColumn="1" w:lastColumn="0" w:noHBand="0" w:noVBand="1"/>
      </w:tblPr>
      <w:tblGrid>
        <w:gridCol w:w="1771"/>
        <w:gridCol w:w="2027"/>
        <w:gridCol w:w="1800"/>
        <w:gridCol w:w="1486"/>
        <w:gridCol w:w="2204"/>
      </w:tblGrid>
      <w:tr w:rsidR="007D6C1F" w:rsidRPr="00D53357" w14:paraId="4908AB7C" w14:textId="77777777" w:rsidTr="007D6C1F">
        <w:trPr>
          <w:trHeight w:val="576"/>
          <w:tblHeader/>
        </w:trPr>
        <w:tc>
          <w:tcPr>
            <w:tcW w:w="1771" w:type="dxa"/>
            <w:shd w:val="clear" w:color="auto" w:fill="F2F2F2" w:themeFill="background1" w:themeFillShade="F2"/>
            <w:vAlign w:val="center"/>
            <w:hideMark/>
          </w:tcPr>
          <w:p w14:paraId="4B9AB396" w14:textId="77777777" w:rsidR="007D6C1F" w:rsidRPr="00A82482" w:rsidRDefault="007D6C1F" w:rsidP="003C6168">
            <w:pPr>
              <w:jc w:val="center"/>
              <w:rPr>
                <w:b/>
                <w:bCs/>
                <w:sz w:val="20"/>
                <w:szCs w:val="20"/>
              </w:rPr>
            </w:pPr>
            <w:r w:rsidRPr="00A82482">
              <w:rPr>
                <w:b/>
                <w:bCs/>
                <w:sz w:val="20"/>
                <w:szCs w:val="20"/>
              </w:rPr>
              <w:t>Category</w:t>
            </w:r>
          </w:p>
        </w:tc>
        <w:tc>
          <w:tcPr>
            <w:tcW w:w="2027" w:type="dxa"/>
            <w:shd w:val="clear" w:color="auto" w:fill="F2F2F2" w:themeFill="background1" w:themeFillShade="F2"/>
            <w:vAlign w:val="center"/>
          </w:tcPr>
          <w:p w14:paraId="0C859F49" w14:textId="03D03419" w:rsidR="007D6C1F" w:rsidRPr="00A82482" w:rsidRDefault="007D6C1F" w:rsidP="007D6C1F">
            <w:pPr>
              <w:jc w:val="center"/>
              <w:rPr>
                <w:b/>
                <w:bCs/>
                <w:sz w:val="20"/>
                <w:szCs w:val="20"/>
              </w:rPr>
            </w:pPr>
            <w:r>
              <w:rPr>
                <w:b/>
                <w:bCs/>
                <w:sz w:val="20"/>
                <w:szCs w:val="20"/>
              </w:rPr>
              <w:t>Category Definition</w:t>
            </w:r>
          </w:p>
        </w:tc>
        <w:tc>
          <w:tcPr>
            <w:tcW w:w="1800" w:type="dxa"/>
            <w:shd w:val="clear" w:color="auto" w:fill="F2F2F2" w:themeFill="background1" w:themeFillShade="F2"/>
            <w:vAlign w:val="center"/>
            <w:hideMark/>
          </w:tcPr>
          <w:p w14:paraId="08E866E0" w14:textId="0D082524" w:rsidR="007D6C1F" w:rsidRPr="00A82482" w:rsidRDefault="007D6C1F" w:rsidP="003C6168">
            <w:pPr>
              <w:jc w:val="center"/>
              <w:rPr>
                <w:b/>
                <w:bCs/>
                <w:sz w:val="20"/>
                <w:szCs w:val="20"/>
              </w:rPr>
            </w:pPr>
            <w:r w:rsidRPr="00A82482">
              <w:rPr>
                <w:b/>
                <w:bCs/>
                <w:sz w:val="20"/>
                <w:szCs w:val="20"/>
              </w:rPr>
              <w:t>Criterion</w:t>
            </w:r>
          </w:p>
        </w:tc>
        <w:tc>
          <w:tcPr>
            <w:tcW w:w="1486" w:type="dxa"/>
            <w:shd w:val="clear" w:color="auto" w:fill="F2F2F2" w:themeFill="background1" w:themeFillShade="F2"/>
            <w:vAlign w:val="center"/>
            <w:hideMark/>
          </w:tcPr>
          <w:p w14:paraId="56BF49A2" w14:textId="77777777" w:rsidR="007D6C1F" w:rsidRPr="00A82482" w:rsidRDefault="007D6C1F" w:rsidP="003C6168">
            <w:pPr>
              <w:jc w:val="center"/>
              <w:rPr>
                <w:b/>
                <w:bCs/>
                <w:sz w:val="20"/>
                <w:szCs w:val="20"/>
              </w:rPr>
            </w:pPr>
            <w:r w:rsidRPr="00A82482">
              <w:rPr>
                <w:b/>
                <w:bCs/>
                <w:sz w:val="20"/>
                <w:szCs w:val="20"/>
              </w:rPr>
              <w:t>Classification</w:t>
            </w:r>
          </w:p>
        </w:tc>
        <w:tc>
          <w:tcPr>
            <w:tcW w:w="2204" w:type="dxa"/>
            <w:shd w:val="clear" w:color="auto" w:fill="F2F2F2" w:themeFill="background1" w:themeFillShade="F2"/>
            <w:vAlign w:val="center"/>
            <w:hideMark/>
          </w:tcPr>
          <w:p w14:paraId="0378B6C7" w14:textId="77777777" w:rsidR="007D6C1F" w:rsidRPr="00A82482" w:rsidRDefault="007D6C1F" w:rsidP="003C6168">
            <w:pPr>
              <w:jc w:val="center"/>
              <w:rPr>
                <w:b/>
                <w:bCs/>
                <w:sz w:val="20"/>
                <w:szCs w:val="20"/>
              </w:rPr>
            </w:pPr>
            <w:r w:rsidRPr="00A82482">
              <w:rPr>
                <w:b/>
                <w:bCs/>
                <w:sz w:val="20"/>
                <w:szCs w:val="20"/>
              </w:rPr>
              <w:t>Scale</w:t>
            </w:r>
          </w:p>
        </w:tc>
      </w:tr>
      <w:tr w:rsidR="007D6C1F" w:rsidRPr="00D53357" w14:paraId="48AE099E" w14:textId="77777777" w:rsidTr="007D6C1F">
        <w:trPr>
          <w:trHeight w:val="576"/>
          <w:tblHeader/>
        </w:trPr>
        <w:tc>
          <w:tcPr>
            <w:tcW w:w="1771" w:type="dxa"/>
            <w:vMerge w:val="restart"/>
            <w:shd w:val="clear" w:color="auto" w:fill="DBE5F1" w:themeFill="accent1" w:themeFillTint="33"/>
            <w:vAlign w:val="center"/>
            <w:hideMark/>
          </w:tcPr>
          <w:p w14:paraId="6401805D" w14:textId="77777777" w:rsidR="007D6C1F" w:rsidRPr="00A82482" w:rsidRDefault="007D6C1F" w:rsidP="003C6168">
            <w:pPr>
              <w:rPr>
                <w:sz w:val="20"/>
                <w:szCs w:val="20"/>
              </w:rPr>
            </w:pPr>
            <w:r w:rsidRPr="00A82482">
              <w:rPr>
                <w:sz w:val="20"/>
                <w:szCs w:val="20"/>
              </w:rPr>
              <w:t>Monitoring Data Accessibility</w:t>
            </w:r>
          </w:p>
          <w:p w14:paraId="6CA7A0EA" w14:textId="1212B0A2" w:rsidR="007D6C1F" w:rsidRPr="00A82482" w:rsidRDefault="007D6C1F" w:rsidP="003C6168">
            <w:pPr>
              <w:rPr>
                <w:sz w:val="20"/>
                <w:szCs w:val="20"/>
              </w:rPr>
            </w:pPr>
          </w:p>
        </w:tc>
        <w:tc>
          <w:tcPr>
            <w:tcW w:w="2027" w:type="dxa"/>
            <w:vMerge w:val="restart"/>
            <w:shd w:val="clear" w:color="auto" w:fill="DBE5F1" w:themeFill="accent1" w:themeFillTint="33"/>
            <w:vAlign w:val="center"/>
          </w:tcPr>
          <w:p w14:paraId="13F157A9" w14:textId="656B5BCD" w:rsidR="007D6C1F" w:rsidRPr="00A82482" w:rsidRDefault="007D6C1F" w:rsidP="007D6C1F">
            <w:pPr>
              <w:rPr>
                <w:sz w:val="20"/>
                <w:szCs w:val="20"/>
              </w:rPr>
            </w:pPr>
            <w:r w:rsidRPr="00136B3F">
              <w:rPr>
                <w:sz w:val="20"/>
                <w:szCs w:val="20"/>
              </w:rPr>
              <w:t>The ability of the public to access and understand the content of project documentation that contains monitoring</w:t>
            </w:r>
            <w:r>
              <w:rPr>
                <w:sz w:val="20"/>
                <w:szCs w:val="20"/>
              </w:rPr>
              <w:t xml:space="preserve"> data (aka- “outputs” or “project-level </w:t>
            </w:r>
            <w:r>
              <w:rPr>
                <w:sz w:val="20"/>
                <w:szCs w:val="20"/>
              </w:rPr>
              <w:lastRenderedPageBreak/>
              <w:t>data”)</w:t>
            </w:r>
            <w:r w:rsidRPr="00136B3F">
              <w:rPr>
                <w:sz w:val="20"/>
                <w:szCs w:val="20"/>
              </w:rPr>
              <w:t xml:space="preserve"> Monitoring data </w:t>
            </w:r>
            <w:r>
              <w:rPr>
                <w:sz w:val="20"/>
                <w:szCs w:val="20"/>
              </w:rPr>
              <w:t>keep organizations accountable and aid</w:t>
            </w:r>
            <w:r w:rsidRPr="00136B3F">
              <w:rPr>
                <w:sz w:val="20"/>
                <w:szCs w:val="20"/>
              </w:rPr>
              <w:t xml:space="preserve"> the innovative reuse of project data.</w:t>
            </w:r>
          </w:p>
        </w:tc>
        <w:tc>
          <w:tcPr>
            <w:tcW w:w="1800" w:type="dxa"/>
            <w:shd w:val="clear" w:color="auto" w:fill="DBE5F1" w:themeFill="accent1" w:themeFillTint="33"/>
            <w:vAlign w:val="center"/>
            <w:hideMark/>
          </w:tcPr>
          <w:p w14:paraId="75D52E49" w14:textId="7D3C78C0" w:rsidR="007D6C1F" w:rsidRPr="00A82482" w:rsidRDefault="007D6C1F" w:rsidP="003C6168">
            <w:pPr>
              <w:rPr>
                <w:sz w:val="20"/>
                <w:szCs w:val="20"/>
              </w:rPr>
            </w:pPr>
            <w:r w:rsidRPr="00A82482">
              <w:rPr>
                <w:sz w:val="20"/>
                <w:szCs w:val="20"/>
              </w:rPr>
              <w:lastRenderedPageBreak/>
              <w:t>Site Stability</w:t>
            </w:r>
          </w:p>
        </w:tc>
        <w:tc>
          <w:tcPr>
            <w:tcW w:w="1486" w:type="dxa"/>
            <w:shd w:val="clear" w:color="auto" w:fill="DBE5F1" w:themeFill="accent1" w:themeFillTint="33"/>
            <w:vAlign w:val="center"/>
            <w:hideMark/>
          </w:tcPr>
          <w:p w14:paraId="0E5D9B56" w14:textId="77777777" w:rsidR="007D6C1F" w:rsidRPr="00A82482" w:rsidRDefault="007D6C1F" w:rsidP="003C6168">
            <w:pPr>
              <w:rPr>
                <w:sz w:val="20"/>
                <w:szCs w:val="20"/>
              </w:rPr>
            </w:pPr>
            <w:r w:rsidRPr="00A82482">
              <w:rPr>
                <w:sz w:val="20"/>
                <w:szCs w:val="20"/>
              </w:rPr>
              <w:t>Ordinal</w:t>
            </w:r>
          </w:p>
        </w:tc>
        <w:tc>
          <w:tcPr>
            <w:tcW w:w="2204" w:type="dxa"/>
            <w:shd w:val="clear" w:color="auto" w:fill="DBE5F1" w:themeFill="accent1" w:themeFillTint="33"/>
            <w:vAlign w:val="center"/>
            <w:hideMark/>
          </w:tcPr>
          <w:p w14:paraId="381CEC9D" w14:textId="77777777" w:rsidR="007D6C1F" w:rsidRPr="00A82482" w:rsidRDefault="007D6C1F" w:rsidP="003C6168">
            <w:pPr>
              <w:rPr>
                <w:sz w:val="20"/>
                <w:szCs w:val="20"/>
              </w:rPr>
            </w:pPr>
            <w:r w:rsidRPr="00A82482">
              <w:rPr>
                <w:sz w:val="20"/>
                <w:szCs w:val="20"/>
              </w:rPr>
              <w:t>[0-4]</w:t>
            </w:r>
            <w:r w:rsidRPr="00A82482">
              <w:rPr>
                <w:sz w:val="20"/>
                <w:szCs w:val="20"/>
              </w:rPr>
              <w:br/>
              <w:t>0: Completely unstable</w:t>
            </w:r>
            <w:r w:rsidRPr="00A82482">
              <w:rPr>
                <w:sz w:val="20"/>
                <w:szCs w:val="20"/>
              </w:rPr>
              <w:br/>
              <w:t>4: Completely stable</w:t>
            </w:r>
          </w:p>
        </w:tc>
      </w:tr>
      <w:tr w:rsidR="007D6C1F" w:rsidRPr="00D53357" w14:paraId="5558056C" w14:textId="77777777" w:rsidTr="007D6C1F">
        <w:trPr>
          <w:trHeight w:val="576"/>
          <w:tblHeader/>
        </w:trPr>
        <w:tc>
          <w:tcPr>
            <w:tcW w:w="1771" w:type="dxa"/>
            <w:vMerge/>
            <w:shd w:val="clear" w:color="auto" w:fill="DBE5F1" w:themeFill="accent1" w:themeFillTint="33"/>
            <w:vAlign w:val="center"/>
            <w:hideMark/>
          </w:tcPr>
          <w:p w14:paraId="57B3D048" w14:textId="4C57EBE5" w:rsidR="007D6C1F" w:rsidRPr="00A82482" w:rsidRDefault="007D6C1F" w:rsidP="003C6168">
            <w:pPr>
              <w:rPr>
                <w:sz w:val="20"/>
                <w:szCs w:val="20"/>
              </w:rPr>
            </w:pPr>
          </w:p>
        </w:tc>
        <w:tc>
          <w:tcPr>
            <w:tcW w:w="2027" w:type="dxa"/>
            <w:vMerge/>
            <w:shd w:val="clear" w:color="auto" w:fill="DBE5F1" w:themeFill="accent1" w:themeFillTint="33"/>
            <w:vAlign w:val="center"/>
          </w:tcPr>
          <w:p w14:paraId="5EA89681" w14:textId="77777777" w:rsidR="007D6C1F" w:rsidRPr="00A82482" w:rsidRDefault="007D6C1F" w:rsidP="007D6C1F">
            <w:pPr>
              <w:rPr>
                <w:sz w:val="20"/>
                <w:szCs w:val="20"/>
              </w:rPr>
            </w:pPr>
          </w:p>
        </w:tc>
        <w:tc>
          <w:tcPr>
            <w:tcW w:w="1800" w:type="dxa"/>
            <w:shd w:val="clear" w:color="auto" w:fill="DBE5F1" w:themeFill="accent1" w:themeFillTint="33"/>
            <w:vAlign w:val="center"/>
            <w:hideMark/>
          </w:tcPr>
          <w:p w14:paraId="284A4ADA" w14:textId="2CBCB641" w:rsidR="007D6C1F" w:rsidRPr="00A82482" w:rsidRDefault="007D6C1F" w:rsidP="003C6168">
            <w:pPr>
              <w:rPr>
                <w:sz w:val="20"/>
                <w:szCs w:val="20"/>
              </w:rPr>
            </w:pPr>
            <w:r w:rsidRPr="00A82482">
              <w:rPr>
                <w:sz w:val="20"/>
                <w:szCs w:val="20"/>
              </w:rPr>
              <w:t>Site Navigability</w:t>
            </w:r>
          </w:p>
        </w:tc>
        <w:tc>
          <w:tcPr>
            <w:tcW w:w="1486" w:type="dxa"/>
            <w:shd w:val="clear" w:color="auto" w:fill="DBE5F1" w:themeFill="accent1" w:themeFillTint="33"/>
            <w:vAlign w:val="center"/>
            <w:hideMark/>
          </w:tcPr>
          <w:p w14:paraId="452647DD" w14:textId="77777777" w:rsidR="007D6C1F" w:rsidRPr="00A82482" w:rsidRDefault="007D6C1F" w:rsidP="003C6168">
            <w:pPr>
              <w:rPr>
                <w:sz w:val="20"/>
                <w:szCs w:val="20"/>
              </w:rPr>
            </w:pPr>
            <w:r w:rsidRPr="00A82482">
              <w:rPr>
                <w:sz w:val="20"/>
                <w:szCs w:val="20"/>
              </w:rPr>
              <w:t>Ordinal</w:t>
            </w:r>
          </w:p>
        </w:tc>
        <w:tc>
          <w:tcPr>
            <w:tcW w:w="2204" w:type="dxa"/>
            <w:shd w:val="clear" w:color="auto" w:fill="DBE5F1" w:themeFill="accent1" w:themeFillTint="33"/>
            <w:vAlign w:val="center"/>
            <w:hideMark/>
          </w:tcPr>
          <w:p w14:paraId="689FCBBD" w14:textId="77777777" w:rsidR="007D6C1F" w:rsidRPr="00A82482" w:rsidRDefault="007D6C1F" w:rsidP="003C6168">
            <w:pPr>
              <w:rPr>
                <w:sz w:val="20"/>
                <w:szCs w:val="20"/>
              </w:rPr>
            </w:pPr>
            <w:r w:rsidRPr="00A82482">
              <w:rPr>
                <w:sz w:val="20"/>
                <w:szCs w:val="20"/>
              </w:rPr>
              <w:t>[0-4]</w:t>
            </w:r>
            <w:r w:rsidRPr="00A82482">
              <w:rPr>
                <w:sz w:val="20"/>
                <w:szCs w:val="20"/>
              </w:rPr>
              <w:br/>
              <w:t xml:space="preserve">0: Completely </w:t>
            </w:r>
            <w:proofErr w:type="spellStart"/>
            <w:r w:rsidRPr="00A82482">
              <w:rPr>
                <w:sz w:val="20"/>
                <w:szCs w:val="20"/>
              </w:rPr>
              <w:t>unnavigable</w:t>
            </w:r>
            <w:proofErr w:type="spellEnd"/>
            <w:r w:rsidRPr="00A82482">
              <w:rPr>
                <w:sz w:val="20"/>
                <w:szCs w:val="20"/>
              </w:rPr>
              <w:br/>
              <w:t>4: Completely navigable</w:t>
            </w:r>
          </w:p>
        </w:tc>
      </w:tr>
      <w:tr w:rsidR="007D6C1F" w:rsidRPr="00D53357" w14:paraId="5BE97685" w14:textId="77777777" w:rsidTr="007D6C1F">
        <w:trPr>
          <w:trHeight w:val="576"/>
          <w:tblHeader/>
        </w:trPr>
        <w:tc>
          <w:tcPr>
            <w:tcW w:w="1771" w:type="dxa"/>
            <w:vMerge/>
            <w:shd w:val="clear" w:color="auto" w:fill="DBE5F1" w:themeFill="accent1" w:themeFillTint="33"/>
            <w:vAlign w:val="center"/>
            <w:hideMark/>
          </w:tcPr>
          <w:p w14:paraId="2CD4F26D" w14:textId="5850D9B5" w:rsidR="007D6C1F" w:rsidRPr="00A82482" w:rsidRDefault="007D6C1F" w:rsidP="003C6168">
            <w:pPr>
              <w:rPr>
                <w:sz w:val="20"/>
                <w:szCs w:val="20"/>
              </w:rPr>
            </w:pPr>
          </w:p>
        </w:tc>
        <w:tc>
          <w:tcPr>
            <w:tcW w:w="2027" w:type="dxa"/>
            <w:vMerge/>
            <w:shd w:val="clear" w:color="auto" w:fill="DBE5F1" w:themeFill="accent1" w:themeFillTint="33"/>
            <w:vAlign w:val="center"/>
          </w:tcPr>
          <w:p w14:paraId="7434D41B" w14:textId="77777777" w:rsidR="007D6C1F" w:rsidRPr="00A82482" w:rsidRDefault="007D6C1F" w:rsidP="007D6C1F">
            <w:pPr>
              <w:rPr>
                <w:sz w:val="20"/>
                <w:szCs w:val="20"/>
              </w:rPr>
            </w:pPr>
          </w:p>
        </w:tc>
        <w:tc>
          <w:tcPr>
            <w:tcW w:w="1800" w:type="dxa"/>
            <w:shd w:val="clear" w:color="auto" w:fill="DBE5F1" w:themeFill="accent1" w:themeFillTint="33"/>
            <w:vAlign w:val="center"/>
            <w:hideMark/>
          </w:tcPr>
          <w:p w14:paraId="0065128C" w14:textId="04A2CA3A" w:rsidR="007D6C1F" w:rsidRPr="00A82482" w:rsidRDefault="007D6C1F" w:rsidP="003C6168">
            <w:pPr>
              <w:rPr>
                <w:sz w:val="20"/>
                <w:szCs w:val="20"/>
              </w:rPr>
            </w:pPr>
            <w:r w:rsidRPr="00A82482">
              <w:rPr>
                <w:sz w:val="20"/>
                <w:szCs w:val="20"/>
              </w:rPr>
              <w:t>Central Portal or Site</w:t>
            </w:r>
          </w:p>
        </w:tc>
        <w:tc>
          <w:tcPr>
            <w:tcW w:w="1486" w:type="dxa"/>
            <w:shd w:val="clear" w:color="auto" w:fill="DBE5F1" w:themeFill="accent1" w:themeFillTint="33"/>
            <w:vAlign w:val="center"/>
            <w:hideMark/>
          </w:tcPr>
          <w:p w14:paraId="40853B42" w14:textId="77777777" w:rsidR="007D6C1F" w:rsidRPr="00A82482" w:rsidRDefault="007D6C1F" w:rsidP="003C6168">
            <w:pPr>
              <w:rPr>
                <w:sz w:val="20"/>
                <w:szCs w:val="20"/>
              </w:rPr>
            </w:pPr>
            <w:r w:rsidRPr="00A82482">
              <w:rPr>
                <w:sz w:val="20"/>
                <w:szCs w:val="20"/>
              </w:rPr>
              <w:t>Binary</w:t>
            </w:r>
          </w:p>
        </w:tc>
        <w:tc>
          <w:tcPr>
            <w:tcW w:w="2204" w:type="dxa"/>
            <w:shd w:val="clear" w:color="auto" w:fill="DBE5F1" w:themeFill="accent1" w:themeFillTint="33"/>
            <w:vAlign w:val="center"/>
            <w:hideMark/>
          </w:tcPr>
          <w:p w14:paraId="523F27DF" w14:textId="77777777" w:rsidR="007D6C1F" w:rsidRPr="00A82482" w:rsidRDefault="007D6C1F" w:rsidP="003C6168">
            <w:pPr>
              <w:rPr>
                <w:sz w:val="20"/>
                <w:szCs w:val="20"/>
              </w:rPr>
            </w:pPr>
            <w:r w:rsidRPr="00A82482">
              <w:rPr>
                <w:sz w:val="20"/>
                <w:szCs w:val="20"/>
              </w:rPr>
              <w:t>[0,4]</w:t>
            </w:r>
            <w:r w:rsidRPr="00A82482">
              <w:rPr>
                <w:sz w:val="20"/>
                <w:szCs w:val="20"/>
              </w:rPr>
              <w:br/>
              <w:t>0: No</w:t>
            </w:r>
            <w:r w:rsidRPr="00A82482">
              <w:rPr>
                <w:sz w:val="20"/>
                <w:szCs w:val="20"/>
              </w:rPr>
              <w:br/>
              <w:t>4: Yes</w:t>
            </w:r>
          </w:p>
        </w:tc>
      </w:tr>
      <w:tr w:rsidR="007D6C1F" w:rsidRPr="00D53357" w14:paraId="6E55DC7F" w14:textId="77777777" w:rsidTr="007D6C1F">
        <w:trPr>
          <w:trHeight w:val="576"/>
          <w:tblHeader/>
        </w:trPr>
        <w:tc>
          <w:tcPr>
            <w:tcW w:w="1771" w:type="dxa"/>
            <w:vMerge w:val="restart"/>
            <w:shd w:val="clear" w:color="auto" w:fill="F2DBDB" w:themeFill="accent2" w:themeFillTint="33"/>
            <w:vAlign w:val="center"/>
            <w:hideMark/>
          </w:tcPr>
          <w:p w14:paraId="2674A45C" w14:textId="418D2195" w:rsidR="007D6C1F" w:rsidRPr="00A82482" w:rsidRDefault="007D6C1F" w:rsidP="003C6168">
            <w:pPr>
              <w:rPr>
                <w:sz w:val="20"/>
                <w:szCs w:val="20"/>
              </w:rPr>
            </w:pPr>
            <w:r w:rsidRPr="00A82482">
              <w:rPr>
                <w:sz w:val="20"/>
                <w:szCs w:val="20"/>
              </w:rPr>
              <w:lastRenderedPageBreak/>
              <w:t>Ease of Automatic Monitoring Data Extraction</w:t>
            </w:r>
          </w:p>
        </w:tc>
        <w:tc>
          <w:tcPr>
            <w:tcW w:w="2027" w:type="dxa"/>
            <w:vMerge w:val="restart"/>
            <w:shd w:val="clear" w:color="auto" w:fill="F2DBDB" w:themeFill="accent2" w:themeFillTint="33"/>
            <w:vAlign w:val="center"/>
          </w:tcPr>
          <w:p w14:paraId="6016AB14" w14:textId="62ADB491" w:rsidR="007D6C1F" w:rsidRPr="00A82482" w:rsidRDefault="007D6C1F" w:rsidP="007D6C1F">
            <w:pPr>
              <w:rPr>
                <w:sz w:val="20"/>
                <w:szCs w:val="20"/>
              </w:rPr>
            </w:pPr>
            <w:r>
              <w:rPr>
                <w:sz w:val="20"/>
                <w:szCs w:val="20"/>
              </w:rPr>
              <w:t xml:space="preserve">The ease of writing </w:t>
            </w:r>
            <w:r w:rsidRPr="00136B3F">
              <w:rPr>
                <w:sz w:val="20"/>
                <w:szCs w:val="20"/>
              </w:rPr>
              <w:t>computerized scraping algorithm</w:t>
            </w:r>
            <w:r>
              <w:rPr>
                <w:sz w:val="20"/>
                <w:szCs w:val="20"/>
              </w:rPr>
              <w:t>s</w:t>
            </w:r>
            <w:r w:rsidRPr="00136B3F">
              <w:rPr>
                <w:sz w:val="20"/>
                <w:szCs w:val="20"/>
              </w:rPr>
              <w:t xml:space="preserve">.  </w:t>
            </w:r>
            <w:r>
              <w:rPr>
                <w:sz w:val="20"/>
                <w:szCs w:val="20"/>
              </w:rPr>
              <w:t xml:space="preserve">Automatic extraction increases the robustness and scalability </w:t>
            </w:r>
            <w:r w:rsidRPr="00136B3F">
              <w:rPr>
                <w:sz w:val="20"/>
                <w:szCs w:val="20"/>
              </w:rPr>
              <w:t xml:space="preserve">of the output </w:t>
            </w:r>
            <w:r>
              <w:rPr>
                <w:sz w:val="20"/>
                <w:szCs w:val="20"/>
              </w:rPr>
              <w:t xml:space="preserve">tracking.  More robust and plentiful output data help donors </w:t>
            </w:r>
            <w:r w:rsidRPr="00136B3F">
              <w:rPr>
                <w:sz w:val="20"/>
                <w:szCs w:val="20"/>
              </w:rPr>
              <w:t>draw conclusions about p</w:t>
            </w:r>
            <w:r>
              <w:rPr>
                <w:sz w:val="20"/>
                <w:szCs w:val="20"/>
              </w:rPr>
              <w:t>roject effectiveness and efficacy.</w:t>
            </w:r>
          </w:p>
        </w:tc>
        <w:tc>
          <w:tcPr>
            <w:tcW w:w="1800" w:type="dxa"/>
            <w:shd w:val="clear" w:color="auto" w:fill="F2DBDB" w:themeFill="accent2" w:themeFillTint="33"/>
            <w:vAlign w:val="center"/>
            <w:hideMark/>
          </w:tcPr>
          <w:p w14:paraId="63D2214E" w14:textId="29BA0320" w:rsidR="007D6C1F" w:rsidRPr="00A82482" w:rsidRDefault="007D6C1F" w:rsidP="003C6168">
            <w:pPr>
              <w:rPr>
                <w:sz w:val="20"/>
                <w:szCs w:val="20"/>
              </w:rPr>
            </w:pPr>
            <w:r w:rsidRPr="00A82482">
              <w:rPr>
                <w:sz w:val="20"/>
                <w:szCs w:val="20"/>
              </w:rPr>
              <w:t>Use of Open Formats</w:t>
            </w:r>
          </w:p>
        </w:tc>
        <w:tc>
          <w:tcPr>
            <w:tcW w:w="1486" w:type="dxa"/>
            <w:shd w:val="clear" w:color="auto" w:fill="F2DBDB" w:themeFill="accent2" w:themeFillTint="33"/>
            <w:vAlign w:val="center"/>
            <w:hideMark/>
          </w:tcPr>
          <w:p w14:paraId="0F549CE8" w14:textId="77777777" w:rsidR="007D6C1F" w:rsidRPr="00A82482" w:rsidRDefault="007D6C1F" w:rsidP="003C6168">
            <w:pPr>
              <w:rPr>
                <w:sz w:val="20"/>
                <w:szCs w:val="20"/>
              </w:rPr>
            </w:pPr>
            <w:r w:rsidRPr="00A82482">
              <w:rPr>
                <w:sz w:val="20"/>
                <w:szCs w:val="20"/>
              </w:rPr>
              <w:t>Ordinal</w:t>
            </w:r>
          </w:p>
        </w:tc>
        <w:tc>
          <w:tcPr>
            <w:tcW w:w="2204" w:type="dxa"/>
            <w:shd w:val="clear" w:color="auto" w:fill="F2DBDB" w:themeFill="accent2" w:themeFillTint="33"/>
            <w:vAlign w:val="center"/>
            <w:hideMark/>
          </w:tcPr>
          <w:p w14:paraId="3C143584" w14:textId="77777777" w:rsidR="007D6C1F" w:rsidRPr="00A82482" w:rsidRDefault="007D6C1F" w:rsidP="003C6168">
            <w:pPr>
              <w:rPr>
                <w:sz w:val="20"/>
                <w:szCs w:val="20"/>
              </w:rPr>
            </w:pPr>
            <w:r w:rsidRPr="00A82482">
              <w:rPr>
                <w:sz w:val="20"/>
                <w:szCs w:val="20"/>
              </w:rPr>
              <w:t>[0-4]</w:t>
            </w:r>
            <w:r w:rsidRPr="00A82482">
              <w:rPr>
                <w:sz w:val="20"/>
                <w:szCs w:val="20"/>
              </w:rPr>
              <w:br/>
              <w:t>0: Never used</w:t>
            </w:r>
            <w:r w:rsidRPr="00A82482">
              <w:rPr>
                <w:sz w:val="20"/>
                <w:szCs w:val="20"/>
              </w:rPr>
              <w:br/>
              <w:t>4: Always used</w:t>
            </w:r>
          </w:p>
        </w:tc>
      </w:tr>
      <w:tr w:rsidR="007D6C1F" w:rsidRPr="00D53357" w14:paraId="79B7153D" w14:textId="77777777" w:rsidTr="007D6C1F">
        <w:trPr>
          <w:trHeight w:val="576"/>
          <w:tblHeader/>
        </w:trPr>
        <w:tc>
          <w:tcPr>
            <w:tcW w:w="1771" w:type="dxa"/>
            <w:vMerge/>
            <w:shd w:val="clear" w:color="auto" w:fill="F2DBDB" w:themeFill="accent2" w:themeFillTint="33"/>
            <w:vAlign w:val="center"/>
            <w:hideMark/>
          </w:tcPr>
          <w:p w14:paraId="6EF8E247" w14:textId="1A094222" w:rsidR="007D6C1F" w:rsidRPr="00A82482" w:rsidRDefault="007D6C1F" w:rsidP="003C6168">
            <w:pPr>
              <w:rPr>
                <w:sz w:val="20"/>
                <w:szCs w:val="20"/>
              </w:rPr>
            </w:pPr>
          </w:p>
        </w:tc>
        <w:tc>
          <w:tcPr>
            <w:tcW w:w="2027" w:type="dxa"/>
            <w:vMerge/>
            <w:shd w:val="clear" w:color="auto" w:fill="F2DBDB" w:themeFill="accent2" w:themeFillTint="33"/>
            <w:vAlign w:val="center"/>
          </w:tcPr>
          <w:p w14:paraId="10CB6AAD" w14:textId="77777777" w:rsidR="007D6C1F" w:rsidRPr="00A82482" w:rsidRDefault="007D6C1F" w:rsidP="007D6C1F">
            <w:pPr>
              <w:rPr>
                <w:sz w:val="20"/>
                <w:szCs w:val="20"/>
              </w:rPr>
            </w:pPr>
          </w:p>
        </w:tc>
        <w:tc>
          <w:tcPr>
            <w:tcW w:w="1800" w:type="dxa"/>
            <w:shd w:val="clear" w:color="auto" w:fill="F2DBDB" w:themeFill="accent2" w:themeFillTint="33"/>
            <w:vAlign w:val="center"/>
            <w:hideMark/>
          </w:tcPr>
          <w:p w14:paraId="5D0DBE98" w14:textId="60AE10E7" w:rsidR="007D6C1F" w:rsidRPr="00A82482" w:rsidRDefault="007D6C1F" w:rsidP="003C6168">
            <w:pPr>
              <w:rPr>
                <w:sz w:val="20"/>
                <w:szCs w:val="20"/>
              </w:rPr>
            </w:pPr>
            <w:r w:rsidRPr="00A82482">
              <w:rPr>
                <w:sz w:val="20"/>
                <w:szCs w:val="20"/>
              </w:rPr>
              <w:t xml:space="preserve">Distribution of Monitoring Template </w:t>
            </w:r>
          </w:p>
        </w:tc>
        <w:tc>
          <w:tcPr>
            <w:tcW w:w="1486" w:type="dxa"/>
            <w:shd w:val="clear" w:color="auto" w:fill="F2DBDB" w:themeFill="accent2" w:themeFillTint="33"/>
            <w:vAlign w:val="center"/>
            <w:hideMark/>
          </w:tcPr>
          <w:p w14:paraId="7355B059" w14:textId="77777777" w:rsidR="007D6C1F" w:rsidRPr="00A82482" w:rsidRDefault="007D6C1F" w:rsidP="003C6168">
            <w:pPr>
              <w:rPr>
                <w:sz w:val="20"/>
                <w:szCs w:val="20"/>
              </w:rPr>
            </w:pPr>
            <w:r w:rsidRPr="00A82482">
              <w:rPr>
                <w:sz w:val="20"/>
                <w:szCs w:val="20"/>
              </w:rPr>
              <w:t>Binary</w:t>
            </w:r>
          </w:p>
        </w:tc>
        <w:tc>
          <w:tcPr>
            <w:tcW w:w="2204" w:type="dxa"/>
            <w:shd w:val="clear" w:color="auto" w:fill="F2DBDB" w:themeFill="accent2" w:themeFillTint="33"/>
            <w:vAlign w:val="center"/>
            <w:hideMark/>
          </w:tcPr>
          <w:p w14:paraId="395B2C16" w14:textId="77777777" w:rsidR="007D6C1F" w:rsidRPr="00A82482" w:rsidRDefault="007D6C1F" w:rsidP="003C6168">
            <w:pPr>
              <w:rPr>
                <w:sz w:val="20"/>
                <w:szCs w:val="20"/>
              </w:rPr>
            </w:pPr>
            <w:r w:rsidRPr="00A82482">
              <w:rPr>
                <w:sz w:val="20"/>
                <w:szCs w:val="20"/>
              </w:rPr>
              <w:t>[0,4]</w:t>
            </w:r>
            <w:r w:rsidRPr="00A82482">
              <w:rPr>
                <w:sz w:val="20"/>
                <w:szCs w:val="20"/>
              </w:rPr>
              <w:br/>
              <w:t>0: No</w:t>
            </w:r>
            <w:r w:rsidRPr="00A82482">
              <w:rPr>
                <w:sz w:val="20"/>
                <w:szCs w:val="20"/>
              </w:rPr>
              <w:br/>
              <w:t>4: Yes</w:t>
            </w:r>
          </w:p>
        </w:tc>
      </w:tr>
      <w:tr w:rsidR="007D6C1F" w:rsidRPr="00D53357" w14:paraId="0E47D55D" w14:textId="77777777" w:rsidTr="007D6C1F">
        <w:trPr>
          <w:trHeight w:val="576"/>
          <w:tblHeader/>
        </w:trPr>
        <w:tc>
          <w:tcPr>
            <w:tcW w:w="1771" w:type="dxa"/>
            <w:vMerge/>
            <w:shd w:val="clear" w:color="auto" w:fill="F2DBDB" w:themeFill="accent2" w:themeFillTint="33"/>
            <w:vAlign w:val="center"/>
            <w:hideMark/>
          </w:tcPr>
          <w:p w14:paraId="7FB6CFC6" w14:textId="5A8FCC8B" w:rsidR="007D6C1F" w:rsidRPr="00A82482" w:rsidRDefault="007D6C1F" w:rsidP="003C6168">
            <w:pPr>
              <w:rPr>
                <w:sz w:val="20"/>
                <w:szCs w:val="20"/>
              </w:rPr>
            </w:pPr>
          </w:p>
        </w:tc>
        <w:tc>
          <w:tcPr>
            <w:tcW w:w="2027" w:type="dxa"/>
            <w:vMerge/>
            <w:shd w:val="clear" w:color="auto" w:fill="F2DBDB" w:themeFill="accent2" w:themeFillTint="33"/>
            <w:vAlign w:val="center"/>
          </w:tcPr>
          <w:p w14:paraId="2954DF3F" w14:textId="77777777" w:rsidR="007D6C1F" w:rsidRPr="00A82482" w:rsidRDefault="007D6C1F" w:rsidP="007D6C1F">
            <w:pPr>
              <w:rPr>
                <w:sz w:val="20"/>
                <w:szCs w:val="20"/>
              </w:rPr>
            </w:pPr>
          </w:p>
        </w:tc>
        <w:tc>
          <w:tcPr>
            <w:tcW w:w="1800" w:type="dxa"/>
            <w:shd w:val="clear" w:color="auto" w:fill="F2DBDB" w:themeFill="accent2" w:themeFillTint="33"/>
            <w:vAlign w:val="center"/>
            <w:hideMark/>
          </w:tcPr>
          <w:p w14:paraId="234DE0A2" w14:textId="66C832E1" w:rsidR="007D6C1F" w:rsidRPr="00A82482" w:rsidRDefault="007D6C1F" w:rsidP="003C6168">
            <w:pPr>
              <w:rPr>
                <w:sz w:val="20"/>
                <w:szCs w:val="20"/>
              </w:rPr>
            </w:pPr>
            <w:r w:rsidRPr="00A82482">
              <w:rPr>
                <w:sz w:val="20"/>
                <w:szCs w:val="20"/>
              </w:rPr>
              <w:t>Use of Monitoring Template</w:t>
            </w:r>
          </w:p>
        </w:tc>
        <w:tc>
          <w:tcPr>
            <w:tcW w:w="1486" w:type="dxa"/>
            <w:shd w:val="clear" w:color="auto" w:fill="F2DBDB" w:themeFill="accent2" w:themeFillTint="33"/>
            <w:vAlign w:val="center"/>
            <w:hideMark/>
          </w:tcPr>
          <w:p w14:paraId="7DAF6A82" w14:textId="77777777" w:rsidR="007D6C1F" w:rsidRPr="00A82482" w:rsidRDefault="007D6C1F" w:rsidP="003C6168">
            <w:pPr>
              <w:rPr>
                <w:sz w:val="20"/>
                <w:szCs w:val="20"/>
              </w:rPr>
            </w:pPr>
            <w:r w:rsidRPr="00A82482">
              <w:rPr>
                <w:sz w:val="20"/>
                <w:szCs w:val="20"/>
              </w:rPr>
              <w:t>Ordinal</w:t>
            </w:r>
          </w:p>
        </w:tc>
        <w:tc>
          <w:tcPr>
            <w:tcW w:w="2204" w:type="dxa"/>
            <w:shd w:val="clear" w:color="auto" w:fill="F2DBDB" w:themeFill="accent2" w:themeFillTint="33"/>
            <w:vAlign w:val="center"/>
            <w:hideMark/>
          </w:tcPr>
          <w:p w14:paraId="4D95FE41" w14:textId="77777777" w:rsidR="007D6C1F" w:rsidRPr="00A82482" w:rsidRDefault="007D6C1F" w:rsidP="003C6168">
            <w:pPr>
              <w:rPr>
                <w:sz w:val="20"/>
                <w:szCs w:val="20"/>
              </w:rPr>
            </w:pPr>
            <w:r w:rsidRPr="00A82482">
              <w:rPr>
                <w:sz w:val="20"/>
                <w:szCs w:val="20"/>
              </w:rPr>
              <w:t>[0-4]</w:t>
            </w:r>
            <w:r w:rsidRPr="00A82482">
              <w:rPr>
                <w:sz w:val="20"/>
                <w:szCs w:val="20"/>
              </w:rPr>
              <w:br/>
              <w:t>0: Never used</w:t>
            </w:r>
            <w:r w:rsidRPr="00A82482">
              <w:rPr>
                <w:sz w:val="20"/>
                <w:szCs w:val="20"/>
              </w:rPr>
              <w:br/>
              <w:t>4: Always used</w:t>
            </w:r>
          </w:p>
        </w:tc>
      </w:tr>
      <w:tr w:rsidR="007D6C1F" w:rsidRPr="00D53357" w14:paraId="387F5964" w14:textId="77777777" w:rsidTr="007D6C1F">
        <w:trPr>
          <w:trHeight w:val="576"/>
          <w:tblHeader/>
        </w:trPr>
        <w:tc>
          <w:tcPr>
            <w:tcW w:w="1771" w:type="dxa"/>
            <w:vMerge w:val="restart"/>
            <w:shd w:val="clear" w:color="auto" w:fill="EAF1DD" w:themeFill="accent3" w:themeFillTint="33"/>
            <w:vAlign w:val="center"/>
            <w:hideMark/>
          </w:tcPr>
          <w:p w14:paraId="74D10AC7" w14:textId="636B983A" w:rsidR="007D6C1F" w:rsidRPr="00A82482" w:rsidRDefault="007D6C1F" w:rsidP="003C6168">
            <w:pPr>
              <w:rPr>
                <w:sz w:val="20"/>
                <w:szCs w:val="20"/>
              </w:rPr>
            </w:pPr>
            <w:r w:rsidRPr="00A82482">
              <w:rPr>
                <w:sz w:val="20"/>
                <w:szCs w:val="20"/>
              </w:rPr>
              <w:t>Monitoring and Reporting Clarity</w:t>
            </w:r>
          </w:p>
        </w:tc>
        <w:tc>
          <w:tcPr>
            <w:tcW w:w="2027" w:type="dxa"/>
            <w:vMerge w:val="restart"/>
            <w:shd w:val="clear" w:color="auto" w:fill="EAF1DD" w:themeFill="accent3" w:themeFillTint="33"/>
            <w:vAlign w:val="center"/>
          </w:tcPr>
          <w:p w14:paraId="3A30FC09" w14:textId="3CF50A80" w:rsidR="007D6C1F" w:rsidRPr="00A82482" w:rsidRDefault="007D6C1F" w:rsidP="007D6C1F">
            <w:pPr>
              <w:rPr>
                <w:sz w:val="20"/>
                <w:szCs w:val="20"/>
              </w:rPr>
            </w:pPr>
            <w:r w:rsidRPr="00136B3F">
              <w:rPr>
                <w:sz w:val="20"/>
                <w:szCs w:val="20"/>
              </w:rPr>
              <w:t>The ease with which the public can understand and analyze output information contained in project documents. The more detailed and precise the output reporting, the more transparent, accountable the donor it, and the greater the potential for innovative reuse.</w:t>
            </w:r>
          </w:p>
        </w:tc>
        <w:tc>
          <w:tcPr>
            <w:tcW w:w="1800" w:type="dxa"/>
            <w:shd w:val="clear" w:color="auto" w:fill="EAF1DD" w:themeFill="accent3" w:themeFillTint="33"/>
            <w:vAlign w:val="center"/>
            <w:hideMark/>
          </w:tcPr>
          <w:p w14:paraId="129764C3" w14:textId="380530E1" w:rsidR="007D6C1F" w:rsidRPr="00A82482" w:rsidRDefault="007D6C1F" w:rsidP="003C6168">
            <w:pPr>
              <w:rPr>
                <w:sz w:val="20"/>
                <w:szCs w:val="20"/>
              </w:rPr>
            </w:pPr>
            <w:r w:rsidRPr="00A82482">
              <w:rPr>
                <w:sz w:val="20"/>
                <w:szCs w:val="20"/>
              </w:rPr>
              <w:t>Legibility of Results Documentation</w:t>
            </w:r>
          </w:p>
        </w:tc>
        <w:tc>
          <w:tcPr>
            <w:tcW w:w="1486" w:type="dxa"/>
            <w:shd w:val="clear" w:color="auto" w:fill="EAF1DD" w:themeFill="accent3" w:themeFillTint="33"/>
            <w:vAlign w:val="center"/>
            <w:hideMark/>
          </w:tcPr>
          <w:p w14:paraId="5501590A" w14:textId="77777777" w:rsidR="007D6C1F" w:rsidRPr="00A82482" w:rsidRDefault="007D6C1F" w:rsidP="003C6168">
            <w:pPr>
              <w:rPr>
                <w:sz w:val="20"/>
                <w:szCs w:val="20"/>
              </w:rPr>
            </w:pPr>
            <w:r w:rsidRPr="00A82482">
              <w:rPr>
                <w:sz w:val="20"/>
                <w:szCs w:val="20"/>
              </w:rPr>
              <w:t>Ordinal</w:t>
            </w:r>
          </w:p>
        </w:tc>
        <w:tc>
          <w:tcPr>
            <w:tcW w:w="2204" w:type="dxa"/>
            <w:shd w:val="clear" w:color="auto" w:fill="EAF1DD" w:themeFill="accent3" w:themeFillTint="33"/>
            <w:vAlign w:val="center"/>
            <w:hideMark/>
          </w:tcPr>
          <w:p w14:paraId="2FC1CA6C" w14:textId="77777777" w:rsidR="007D6C1F" w:rsidRPr="00A82482" w:rsidRDefault="007D6C1F" w:rsidP="003C6168">
            <w:pPr>
              <w:rPr>
                <w:sz w:val="20"/>
                <w:szCs w:val="20"/>
              </w:rPr>
            </w:pPr>
            <w:r w:rsidRPr="00A82482">
              <w:rPr>
                <w:sz w:val="20"/>
                <w:szCs w:val="20"/>
              </w:rPr>
              <w:t>[0-4]</w:t>
            </w:r>
            <w:r w:rsidRPr="00A82482">
              <w:rPr>
                <w:sz w:val="20"/>
                <w:szCs w:val="20"/>
              </w:rPr>
              <w:br/>
              <w:t>0: Totally illegible</w:t>
            </w:r>
            <w:r w:rsidRPr="00A82482">
              <w:rPr>
                <w:sz w:val="20"/>
                <w:szCs w:val="20"/>
              </w:rPr>
              <w:br/>
              <w:t>4: Totally legible</w:t>
            </w:r>
          </w:p>
        </w:tc>
      </w:tr>
      <w:tr w:rsidR="007D6C1F" w:rsidRPr="00D53357" w14:paraId="19985BAD" w14:textId="77777777" w:rsidTr="007D6C1F">
        <w:trPr>
          <w:trHeight w:val="576"/>
          <w:tblHeader/>
        </w:trPr>
        <w:tc>
          <w:tcPr>
            <w:tcW w:w="1771" w:type="dxa"/>
            <w:vMerge/>
            <w:shd w:val="clear" w:color="auto" w:fill="EAF1DD" w:themeFill="accent3" w:themeFillTint="33"/>
            <w:vAlign w:val="center"/>
            <w:hideMark/>
          </w:tcPr>
          <w:p w14:paraId="08952819" w14:textId="78500EC2" w:rsidR="007D6C1F" w:rsidRPr="00A82482" w:rsidRDefault="007D6C1F" w:rsidP="003C6168">
            <w:pPr>
              <w:rPr>
                <w:sz w:val="20"/>
                <w:szCs w:val="20"/>
              </w:rPr>
            </w:pPr>
          </w:p>
        </w:tc>
        <w:tc>
          <w:tcPr>
            <w:tcW w:w="2027" w:type="dxa"/>
            <w:vMerge/>
            <w:shd w:val="clear" w:color="auto" w:fill="EAF1DD" w:themeFill="accent3" w:themeFillTint="33"/>
            <w:vAlign w:val="center"/>
          </w:tcPr>
          <w:p w14:paraId="658A722A" w14:textId="77777777" w:rsidR="007D6C1F" w:rsidRPr="00A82482" w:rsidRDefault="007D6C1F" w:rsidP="007D6C1F">
            <w:pPr>
              <w:rPr>
                <w:sz w:val="20"/>
                <w:szCs w:val="20"/>
              </w:rPr>
            </w:pPr>
          </w:p>
        </w:tc>
        <w:tc>
          <w:tcPr>
            <w:tcW w:w="1800" w:type="dxa"/>
            <w:shd w:val="clear" w:color="auto" w:fill="EAF1DD" w:themeFill="accent3" w:themeFillTint="33"/>
            <w:vAlign w:val="center"/>
            <w:hideMark/>
          </w:tcPr>
          <w:p w14:paraId="5D300798" w14:textId="0441A603" w:rsidR="007D6C1F" w:rsidRPr="00A82482" w:rsidRDefault="007D6C1F" w:rsidP="003C6168">
            <w:pPr>
              <w:rPr>
                <w:sz w:val="20"/>
                <w:szCs w:val="20"/>
              </w:rPr>
            </w:pPr>
            <w:r w:rsidRPr="00A82482">
              <w:rPr>
                <w:sz w:val="20"/>
                <w:szCs w:val="20"/>
              </w:rPr>
              <w:t>Completeness of Monitoring Reporting</w:t>
            </w:r>
          </w:p>
        </w:tc>
        <w:tc>
          <w:tcPr>
            <w:tcW w:w="1486" w:type="dxa"/>
            <w:shd w:val="clear" w:color="auto" w:fill="EAF1DD" w:themeFill="accent3" w:themeFillTint="33"/>
            <w:vAlign w:val="center"/>
            <w:hideMark/>
          </w:tcPr>
          <w:p w14:paraId="16A03B1F" w14:textId="77777777" w:rsidR="007D6C1F" w:rsidRPr="00A82482" w:rsidRDefault="007D6C1F" w:rsidP="003C6168">
            <w:pPr>
              <w:rPr>
                <w:sz w:val="20"/>
                <w:szCs w:val="20"/>
              </w:rPr>
            </w:pPr>
            <w:r w:rsidRPr="00A82482">
              <w:rPr>
                <w:sz w:val="20"/>
                <w:szCs w:val="20"/>
              </w:rPr>
              <w:t>Ordinal</w:t>
            </w:r>
          </w:p>
        </w:tc>
        <w:tc>
          <w:tcPr>
            <w:tcW w:w="2204" w:type="dxa"/>
            <w:shd w:val="clear" w:color="auto" w:fill="EAF1DD" w:themeFill="accent3" w:themeFillTint="33"/>
            <w:vAlign w:val="center"/>
            <w:hideMark/>
          </w:tcPr>
          <w:p w14:paraId="1C08D321" w14:textId="77777777" w:rsidR="007D6C1F" w:rsidRPr="00A82482" w:rsidRDefault="007D6C1F" w:rsidP="003C6168">
            <w:pPr>
              <w:rPr>
                <w:sz w:val="20"/>
                <w:szCs w:val="20"/>
              </w:rPr>
            </w:pPr>
            <w:r w:rsidRPr="00A82482">
              <w:rPr>
                <w:sz w:val="20"/>
                <w:szCs w:val="20"/>
              </w:rPr>
              <w:t>[0-4]</w:t>
            </w:r>
            <w:r w:rsidRPr="00A82482">
              <w:rPr>
                <w:sz w:val="20"/>
                <w:szCs w:val="20"/>
              </w:rPr>
              <w:br/>
              <w:t>0: Mo</w:t>
            </w:r>
            <w:r>
              <w:rPr>
                <w:sz w:val="20"/>
                <w:szCs w:val="20"/>
              </w:rPr>
              <w:t>nitoring data never reported</w:t>
            </w:r>
            <w:r w:rsidRPr="00A82482">
              <w:rPr>
                <w:sz w:val="20"/>
                <w:szCs w:val="20"/>
              </w:rPr>
              <w:br/>
              <w:t>4: Monitoring data always reported</w:t>
            </w:r>
          </w:p>
        </w:tc>
      </w:tr>
      <w:tr w:rsidR="007D6C1F" w:rsidRPr="00D53357" w14:paraId="007B312F" w14:textId="77777777" w:rsidTr="007D6C1F">
        <w:trPr>
          <w:trHeight w:val="576"/>
          <w:tblHeader/>
        </w:trPr>
        <w:tc>
          <w:tcPr>
            <w:tcW w:w="1771" w:type="dxa"/>
            <w:vMerge/>
            <w:shd w:val="clear" w:color="auto" w:fill="EAF1DD" w:themeFill="accent3" w:themeFillTint="33"/>
            <w:vAlign w:val="center"/>
            <w:hideMark/>
          </w:tcPr>
          <w:p w14:paraId="0501C8A7" w14:textId="768385C5" w:rsidR="007D6C1F" w:rsidRPr="00A82482" w:rsidRDefault="007D6C1F" w:rsidP="003C6168">
            <w:pPr>
              <w:rPr>
                <w:sz w:val="20"/>
                <w:szCs w:val="20"/>
              </w:rPr>
            </w:pPr>
          </w:p>
        </w:tc>
        <w:tc>
          <w:tcPr>
            <w:tcW w:w="2027" w:type="dxa"/>
            <w:vMerge/>
            <w:shd w:val="clear" w:color="auto" w:fill="EAF1DD" w:themeFill="accent3" w:themeFillTint="33"/>
            <w:vAlign w:val="center"/>
          </w:tcPr>
          <w:p w14:paraId="4BFAE338" w14:textId="77777777" w:rsidR="007D6C1F" w:rsidRPr="00A82482" w:rsidRDefault="007D6C1F" w:rsidP="007D6C1F">
            <w:pPr>
              <w:rPr>
                <w:sz w:val="20"/>
                <w:szCs w:val="20"/>
              </w:rPr>
            </w:pPr>
          </w:p>
        </w:tc>
        <w:tc>
          <w:tcPr>
            <w:tcW w:w="1800" w:type="dxa"/>
            <w:shd w:val="clear" w:color="auto" w:fill="EAF1DD" w:themeFill="accent3" w:themeFillTint="33"/>
            <w:vAlign w:val="center"/>
            <w:hideMark/>
          </w:tcPr>
          <w:p w14:paraId="307B691D" w14:textId="0B4AB47D" w:rsidR="007D6C1F" w:rsidRPr="00A82482" w:rsidRDefault="007D6C1F" w:rsidP="003C6168">
            <w:pPr>
              <w:rPr>
                <w:sz w:val="20"/>
                <w:szCs w:val="20"/>
              </w:rPr>
            </w:pPr>
            <w:r w:rsidRPr="00A82482">
              <w:rPr>
                <w:sz w:val="20"/>
                <w:szCs w:val="20"/>
              </w:rPr>
              <w:t>Internal Consistency with Terminology</w:t>
            </w:r>
          </w:p>
        </w:tc>
        <w:tc>
          <w:tcPr>
            <w:tcW w:w="1486" w:type="dxa"/>
            <w:shd w:val="clear" w:color="auto" w:fill="EAF1DD" w:themeFill="accent3" w:themeFillTint="33"/>
            <w:vAlign w:val="center"/>
            <w:hideMark/>
          </w:tcPr>
          <w:p w14:paraId="097C4B17" w14:textId="77777777" w:rsidR="007D6C1F" w:rsidRPr="00A82482" w:rsidRDefault="007D6C1F" w:rsidP="003C6168">
            <w:pPr>
              <w:rPr>
                <w:sz w:val="20"/>
                <w:szCs w:val="20"/>
              </w:rPr>
            </w:pPr>
            <w:r w:rsidRPr="00A82482">
              <w:rPr>
                <w:sz w:val="20"/>
                <w:szCs w:val="20"/>
              </w:rPr>
              <w:t>Ordinal</w:t>
            </w:r>
          </w:p>
        </w:tc>
        <w:tc>
          <w:tcPr>
            <w:tcW w:w="2204" w:type="dxa"/>
            <w:shd w:val="clear" w:color="auto" w:fill="EAF1DD" w:themeFill="accent3" w:themeFillTint="33"/>
            <w:vAlign w:val="center"/>
            <w:hideMark/>
          </w:tcPr>
          <w:p w14:paraId="005964C3" w14:textId="77777777" w:rsidR="007D6C1F" w:rsidRPr="00A82482" w:rsidRDefault="007D6C1F" w:rsidP="003C6168">
            <w:pPr>
              <w:rPr>
                <w:sz w:val="20"/>
                <w:szCs w:val="20"/>
              </w:rPr>
            </w:pPr>
            <w:r w:rsidRPr="00A82482">
              <w:rPr>
                <w:sz w:val="20"/>
                <w:szCs w:val="20"/>
              </w:rPr>
              <w:t>[0-4]</w:t>
            </w:r>
            <w:r w:rsidRPr="00A82482">
              <w:rPr>
                <w:sz w:val="20"/>
                <w:szCs w:val="20"/>
              </w:rPr>
              <w:br/>
              <w:t>0: Monitoring data never follow</w:t>
            </w:r>
            <w:r>
              <w:rPr>
                <w:sz w:val="20"/>
                <w:szCs w:val="20"/>
              </w:rPr>
              <w:t xml:space="preserve"> DP definition</w:t>
            </w:r>
            <w:r w:rsidRPr="00A82482">
              <w:rPr>
                <w:sz w:val="20"/>
                <w:szCs w:val="20"/>
              </w:rPr>
              <w:br/>
              <w:t xml:space="preserve">4: Monitoring data always follow </w:t>
            </w:r>
            <w:r>
              <w:rPr>
                <w:sz w:val="20"/>
                <w:szCs w:val="20"/>
              </w:rPr>
              <w:t>DP</w:t>
            </w:r>
            <w:r w:rsidRPr="00A82482">
              <w:rPr>
                <w:sz w:val="20"/>
                <w:szCs w:val="20"/>
              </w:rPr>
              <w:t xml:space="preserve"> definition</w:t>
            </w:r>
          </w:p>
        </w:tc>
      </w:tr>
      <w:tr w:rsidR="007D6C1F" w:rsidRPr="00D53357" w14:paraId="53012062" w14:textId="77777777" w:rsidTr="007D6C1F">
        <w:trPr>
          <w:trHeight w:val="576"/>
          <w:tblHeader/>
        </w:trPr>
        <w:tc>
          <w:tcPr>
            <w:tcW w:w="1771" w:type="dxa"/>
            <w:vMerge/>
            <w:shd w:val="clear" w:color="auto" w:fill="EAF1DD" w:themeFill="accent3" w:themeFillTint="33"/>
            <w:vAlign w:val="center"/>
            <w:hideMark/>
          </w:tcPr>
          <w:p w14:paraId="111A8F3A" w14:textId="47DB5E71" w:rsidR="007D6C1F" w:rsidRPr="00A82482" w:rsidRDefault="007D6C1F" w:rsidP="003C6168">
            <w:pPr>
              <w:rPr>
                <w:sz w:val="20"/>
                <w:szCs w:val="20"/>
              </w:rPr>
            </w:pPr>
          </w:p>
        </w:tc>
        <w:tc>
          <w:tcPr>
            <w:tcW w:w="2027" w:type="dxa"/>
            <w:vMerge/>
            <w:shd w:val="clear" w:color="auto" w:fill="EAF1DD" w:themeFill="accent3" w:themeFillTint="33"/>
            <w:vAlign w:val="center"/>
          </w:tcPr>
          <w:p w14:paraId="59C8E445" w14:textId="77777777" w:rsidR="007D6C1F" w:rsidRPr="00A82482" w:rsidRDefault="007D6C1F" w:rsidP="007D6C1F">
            <w:pPr>
              <w:rPr>
                <w:sz w:val="20"/>
                <w:szCs w:val="20"/>
              </w:rPr>
            </w:pPr>
          </w:p>
        </w:tc>
        <w:tc>
          <w:tcPr>
            <w:tcW w:w="1800" w:type="dxa"/>
            <w:shd w:val="clear" w:color="auto" w:fill="EAF1DD" w:themeFill="accent3" w:themeFillTint="33"/>
            <w:vAlign w:val="center"/>
            <w:hideMark/>
          </w:tcPr>
          <w:p w14:paraId="42F559EE" w14:textId="72EBC3F1" w:rsidR="007D6C1F" w:rsidRPr="00A82482" w:rsidRDefault="007D6C1F" w:rsidP="003C6168">
            <w:pPr>
              <w:rPr>
                <w:sz w:val="20"/>
                <w:szCs w:val="20"/>
              </w:rPr>
            </w:pPr>
            <w:r w:rsidRPr="00A82482">
              <w:rPr>
                <w:sz w:val="20"/>
                <w:szCs w:val="20"/>
              </w:rPr>
              <w:t>Precision of Monitoring Reporting</w:t>
            </w:r>
          </w:p>
        </w:tc>
        <w:tc>
          <w:tcPr>
            <w:tcW w:w="1486" w:type="dxa"/>
            <w:shd w:val="clear" w:color="auto" w:fill="EAF1DD" w:themeFill="accent3" w:themeFillTint="33"/>
            <w:vAlign w:val="center"/>
            <w:hideMark/>
          </w:tcPr>
          <w:p w14:paraId="5987E4EA" w14:textId="77777777" w:rsidR="007D6C1F" w:rsidRPr="00A82482" w:rsidRDefault="007D6C1F" w:rsidP="003C6168">
            <w:pPr>
              <w:rPr>
                <w:sz w:val="20"/>
                <w:szCs w:val="20"/>
              </w:rPr>
            </w:pPr>
            <w:r w:rsidRPr="00A82482">
              <w:rPr>
                <w:sz w:val="20"/>
                <w:szCs w:val="20"/>
              </w:rPr>
              <w:t>Ordinal</w:t>
            </w:r>
          </w:p>
        </w:tc>
        <w:tc>
          <w:tcPr>
            <w:tcW w:w="2204" w:type="dxa"/>
            <w:shd w:val="clear" w:color="auto" w:fill="EAF1DD" w:themeFill="accent3" w:themeFillTint="33"/>
            <w:vAlign w:val="center"/>
            <w:hideMark/>
          </w:tcPr>
          <w:p w14:paraId="4D65BC99" w14:textId="77777777" w:rsidR="007D6C1F" w:rsidRPr="00A82482" w:rsidRDefault="007D6C1F" w:rsidP="003C6168">
            <w:pPr>
              <w:rPr>
                <w:sz w:val="20"/>
                <w:szCs w:val="20"/>
              </w:rPr>
            </w:pPr>
            <w:r w:rsidRPr="00A82482">
              <w:rPr>
                <w:sz w:val="20"/>
                <w:szCs w:val="20"/>
              </w:rPr>
              <w:t>[0-4]</w:t>
            </w:r>
            <w:r w:rsidRPr="00A82482">
              <w:rPr>
                <w:sz w:val="20"/>
                <w:szCs w:val="20"/>
              </w:rPr>
              <w:br/>
              <w:t xml:space="preserve">0: Monitoring data always reported using vague </w:t>
            </w:r>
            <w:r>
              <w:rPr>
                <w:sz w:val="20"/>
                <w:szCs w:val="20"/>
              </w:rPr>
              <w:t>language</w:t>
            </w:r>
            <w:r w:rsidRPr="00A82482">
              <w:rPr>
                <w:sz w:val="20"/>
                <w:szCs w:val="20"/>
              </w:rPr>
              <w:br/>
              <w:t>4: Monitoring data always reported using exact language</w:t>
            </w:r>
          </w:p>
        </w:tc>
      </w:tr>
      <w:tr w:rsidR="007D6C1F" w:rsidRPr="00D53357" w14:paraId="68B12A74" w14:textId="77777777" w:rsidTr="007D6C1F">
        <w:trPr>
          <w:trHeight w:val="576"/>
          <w:tblHeader/>
        </w:trPr>
        <w:tc>
          <w:tcPr>
            <w:tcW w:w="1771" w:type="dxa"/>
            <w:vMerge w:val="restart"/>
            <w:shd w:val="clear" w:color="auto" w:fill="E5DFEC" w:themeFill="accent4" w:themeFillTint="33"/>
            <w:vAlign w:val="center"/>
            <w:hideMark/>
          </w:tcPr>
          <w:p w14:paraId="6D443188" w14:textId="517A2459" w:rsidR="007D6C1F" w:rsidRPr="00A82482" w:rsidRDefault="007D6C1F" w:rsidP="003C6168">
            <w:pPr>
              <w:rPr>
                <w:sz w:val="20"/>
                <w:szCs w:val="20"/>
              </w:rPr>
            </w:pPr>
            <w:r w:rsidRPr="00A82482">
              <w:rPr>
                <w:sz w:val="20"/>
                <w:szCs w:val="20"/>
              </w:rPr>
              <w:t>Monitoring Dataset Transparency</w:t>
            </w:r>
          </w:p>
        </w:tc>
        <w:tc>
          <w:tcPr>
            <w:tcW w:w="2027" w:type="dxa"/>
            <w:vMerge w:val="restart"/>
            <w:shd w:val="clear" w:color="auto" w:fill="E5DFEC" w:themeFill="accent4" w:themeFillTint="33"/>
            <w:vAlign w:val="center"/>
          </w:tcPr>
          <w:p w14:paraId="2F460F3A" w14:textId="23B13A6F" w:rsidR="007D6C1F" w:rsidRPr="007D6C1F" w:rsidRDefault="007D6C1F" w:rsidP="007D6C1F">
            <w:pPr>
              <w:rPr>
                <w:sz w:val="20"/>
                <w:szCs w:val="20"/>
              </w:rPr>
            </w:pPr>
            <w:r w:rsidRPr="00136B3F">
              <w:rPr>
                <w:sz w:val="20"/>
                <w:szCs w:val="20"/>
              </w:rPr>
              <w:t>To what degree datasets containing output information are available (existing) and accessible (able to be accessed by the public).  The greatest potential for transparency and reuse exists where both output datasets and corresponding spatial data</w:t>
            </w:r>
            <w:r>
              <w:rPr>
                <w:sz w:val="20"/>
                <w:szCs w:val="20"/>
              </w:rPr>
              <w:t xml:space="preserve"> are available for all projects.</w:t>
            </w:r>
          </w:p>
        </w:tc>
        <w:tc>
          <w:tcPr>
            <w:tcW w:w="1800" w:type="dxa"/>
            <w:shd w:val="clear" w:color="auto" w:fill="E5DFEC" w:themeFill="accent4" w:themeFillTint="33"/>
            <w:vAlign w:val="center"/>
            <w:hideMark/>
          </w:tcPr>
          <w:p w14:paraId="6C2D17C1" w14:textId="0AE9FE51" w:rsidR="007D6C1F" w:rsidRPr="00A82482" w:rsidRDefault="007D6C1F" w:rsidP="003C6168">
            <w:pPr>
              <w:rPr>
                <w:sz w:val="20"/>
                <w:szCs w:val="20"/>
              </w:rPr>
            </w:pPr>
            <w:r w:rsidRPr="00A82482">
              <w:rPr>
                <w:sz w:val="20"/>
                <w:szCs w:val="20"/>
              </w:rPr>
              <w:t>Availability of Monitoring Datasets</w:t>
            </w:r>
          </w:p>
        </w:tc>
        <w:tc>
          <w:tcPr>
            <w:tcW w:w="1486" w:type="dxa"/>
            <w:shd w:val="clear" w:color="auto" w:fill="E5DFEC" w:themeFill="accent4" w:themeFillTint="33"/>
            <w:vAlign w:val="center"/>
            <w:hideMark/>
          </w:tcPr>
          <w:p w14:paraId="18F52FF1" w14:textId="77777777" w:rsidR="007D6C1F" w:rsidRPr="00A82482" w:rsidRDefault="007D6C1F" w:rsidP="003C6168">
            <w:pPr>
              <w:rPr>
                <w:sz w:val="20"/>
                <w:szCs w:val="20"/>
              </w:rPr>
            </w:pPr>
            <w:r w:rsidRPr="00A82482">
              <w:rPr>
                <w:sz w:val="20"/>
                <w:szCs w:val="20"/>
              </w:rPr>
              <w:t>Ordinal</w:t>
            </w:r>
          </w:p>
        </w:tc>
        <w:tc>
          <w:tcPr>
            <w:tcW w:w="2204" w:type="dxa"/>
            <w:shd w:val="clear" w:color="auto" w:fill="E5DFEC" w:themeFill="accent4" w:themeFillTint="33"/>
            <w:vAlign w:val="center"/>
            <w:hideMark/>
          </w:tcPr>
          <w:p w14:paraId="113CE887" w14:textId="77777777" w:rsidR="007D6C1F" w:rsidRPr="00A82482" w:rsidRDefault="007D6C1F" w:rsidP="003C6168">
            <w:pPr>
              <w:rPr>
                <w:sz w:val="20"/>
                <w:szCs w:val="20"/>
              </w:rPr>
            </w:pPr>
            <w:r w:rsidRPr="00A82482">
              <w:rPr>
                <w:sz w:val="20"/>
                <w:szCs w:val="20"/>
              </w:rPr>
              <w:t>[0-4]</w:t>
            </w:r>
            <w:r w:rsidRPr="00A82482">
              <w:rPr>
                <w:sz w:val="20"/>
                <w:szCs w:val="20"/>
              </w:rPr>
              <w:br/>
              <w:t>0: No evidence exists that monitoring datasets exist</w:t>
            </w:r>
            <w:r w:rsidRPr="00A82482">
              <w:rPr>
                <w:sz w:val="20"/>
                <w:szCs w:val="20"/>
              </w:rPr>
              <w:br/>
              <w:t>2: Some evidence that monitoring datasets exist, or full evidence that monitoring datasets exist for some projects only</w:t>
            </w:r>
            <w:r w:rsidRPr="00A82482">
              <w:rPr>
                <w:sz w:val="20"/>
                <w:szCs w:val="20"/>
              </w:rPr>
              <w:br/>
              <w:t>4: Full evidence that monitoring datasets exist for all projects</w:t>
            </w:r>
          </w:p>
        </w:tc>
      </w:tr>
      <w:tr w:rsidR="007D6C1F" w:rsidRPr="00D53357" w14:paraId="388B0659" w14:textId="77777777" w:rsidTr="007D6C1F">
        <w:trPr>
          <w:trHeight w:val="576"/>
          <w:tblHeader/>
        </w:trPr>
        <w:tc>
          <w:tcPr>
            <w:tcW w:w="1771" w:type="dxa"/>
            <w:vMerge/>
            <w:shd w:val="clear" w:color="auto" w:fill="E5DFEC" w:themeFill="accent4" w:themeFillTint="33"/>
            <w:vAlign w:val="center"/>
            <w:hideMark/>
          </w:tcPr>
          <w:p w14:paraId="6FB692CF" w14:textId="00649EB1" w:rsidR="007D6C1F" w:rsidRPr="00A82482" w:rsidRDefault="007D6C1F" w:rsidP="003C6168">
            <w:pPr>
              <w:rPr>
                <w:sz w:val="20"/>
                <w:szCs w:val="20"/>
              </w:rPr>
            </w:pPr>
          </w:p>
        </w:tc>
        <w:tc>
          <w:tcPr>
            <w:tcW w:w="2027" w:type="dxa"/>
            <w:vMerge/>
            <w:shd w:val="clear" w:color="auto" w:fill="E5DFEC" w:themeFill="accent4" w:themeFillTint="33"/>
            <w:vAlign w:val="center"/>
          </w:tcPr>
          <w:p w14:paraId="2991024A" w14:textId="77777777" w:rsidR="007D6C1F" w:rsidRPr="00A82482" w:rsidRDefault="007D6C1F" w:rsidP="007D6C1F">
            <w:pPr>
              <w:rPr>
                <w:sz w:val="20"/>
                <w:szCs w:val="20"/>
              </w:rPr>
            </w:pPr>
          </w:p>
        </w:tc>
        <w:tc>
          <w:tcPr>
            <w:tcW w:w="1800" w:type="dxa"/>
            <w:shd w:val="clear" w:color="auto" w:fill="E5DFEC" w:themeFill="accent4" w:themeFillTint="33"/>
            <w:vAlign w:val="center"/>
            <w:hideMark/>
          </w:tcPr>
          <w:p w14:paraId="4A2AF3E7" w14:textId="761548A6" w:rsidR="007D6C1F" w:rsidRPr="00A82482" w:rsidRDefault="007D6C1F" w:rsidP="003C6168">
            <w:pPr>
              <w:rPr>
                <w:sz w:val="20"/>
                <w:szCs w:val="20"/>
              </w:rPr>
            </w:pPr>
            <w:r w:rsidRPr="00A82482">
              <w:rPr>
                <w:sz w:val="20"/>
                <w:szCs w:val="20"/>
              </w:rPr>
              <w:t>Accessibility of Monitoring Datasets</w:t>
            </w:r>
          </w:p>
        </w:tc>
        <w:tc>
          <w:tcPr>
            <w:tcW w:w="1486" w:type="dxa"/>
            <w:shd w:val="clear" w:color="auto" w:fill="E5DFEC" w:themeFill="accent4" w:themeFillTint="33"/>
            <w:vAlign w:val="center"/>
            <w:hideMark/>
          </w:tcPr>
          <w:p w14:paraId="6CDBC38D" w14:textId="77777777" w:rsidR="007D6C1F" w:rsidRPr="00A82482" w:rsidRDefault="007D6C1F" w:rsidP="003C6168">
            <w:pPr>
              <w:rPr>
                <w:sz w:val="20"/>
                <w:szCs w:val="20"/>
              </w:rPr>
            </w:pPr>
            <w:r w:rsidRPr="00A82482">
              <w:rPr>
                <w:sz w:val="20"/>
                <w:szCs w:val="20"/>
              </w:rPr>
              <w:t>Ordinal</w:t>
            </w:r>
          </w:p>
        </w:tc>
        <w:tc>
          <w:tcPr>
            <w:tcW w:w="2204" w:type="dxa"/>
            <w:shd w:val="clear" w:color="auto" w:fill="E5DFEC" w:themeFill="accent4" w:themeFillTint="33"/>
            <w:vAlign w:val="center"/>
            <w:hideMark/>
          </w:tcPr>
          <w:p w14:paraId="45E9E1DF" w14:textId="77777777" w:rsidR="007D6C1F" w:rsidRPr="00A82482" w:rsidRDefault="007D6C1F" w:rsidP="003C6168">
            <w:pPr>
              <w:rPr>
                <w:sz w:val="20"/>
                <w:szCs w:val="20"/>
              </w:rPr>
            </w:pPr>
            <w:r w:rsidRPr="00A82482">
              <w:rPr>
                <w:sz w:val="20"/>
                <w:szCs w:val="20"/>
              </w:rPr>
              <w:t>[0-4]</w:t>
            </w:r>
            <w:r w:rsidRPr="00A82482">
              <w:rPr>
                <w:sz w:val="20"/>
                <w:szCs w:val="20"/>
              </w:rPr>
              <w:br/>
              <w:t>0: No public access to datasets for any projects</w:t>
            </w:r>
            <w:r w:rsidRPr="00A82482">
              <w:rPr>
                <w:sz w:val="20"/>
                <w:szCs w:val="20"/>
              </w:rPr>
              <w:br/>
              <w:t>2: Limited public access (some datasets public)</w:t>
            </w:r>
            <w:r w:rsidRPr="00A82482">
              <w:rPr>
                <w:sz w:val="20"/>
                <w:szCs w:val="20"/>
              </w:rPr>
              <w:br/>
              <w:t>4: Full public access to datasets for all projects</w:t>
            </w:r>
          </w:p>
        </w:tc>
      </w:tr>
      <w:tr w:rsidR="007D6C1F" w:rsidRPr="00D53357" w14:paraId="5F8C7236" w14:textId="77777777" w:rsidTr="007D6C1F">
        <w:trPr>
          <w:trHeight w:val="576"/>
          <w:tblHeader/>
        </w:trPr>
        <w:tc>
          <w:tcPr>
            <w:tcW w:w="1771" w:type="dxa"/>
            <w:vMerge/>
            <w:shd w:val="clear" w:color="auto" w:fill="E5DFEC" w:themeFill="accent4" w:themeFillTint="33"/>
            <w:vAlign w:val="center"/>
            <w:hideMark/>
          </w:tcPr>
          <w:p w14:paraId="487F521B" w14:textId="30BBF0DF" w:rsidR="007D6C1F" w:rsidRPr="00A82482" w:rsidRDefault="007D6C1F" w:rsidP="003C6168">
            <w:pPr>
              <w:rPr>
                <w:sz w:val="20"/>
                <w:szCs w:val="20"/>
              </w:rPr>
            </w:pPr>
          </w:p>
        </w:tc>
        <w:tc>
          <w:tcPr>
            <w:tcW w:w="2027" w:type="dxa"/>
            <w:vMerge/>
            <w:shd w:val="clear" w:color="auto" w:fill="E5DFEC" w:themeFill="accent4" w:themeFillTint="33"/>
            <w:vAlign w:val="center"/>
          </w:tcPr>
          <w:p w14:paraId="2E25E005" w14:textId="77777777" w:rsidR="007D6C1F" w:rsidRPr="00A82482" w:rsidRDefault="007D6C1F" w:rsidP="007D6C1F">
            <w:pPr>
              <w:rPr>
                <w:sz w:val="20"/>
                <w:szCs w:val="20"/>
              </w:rPr>
            </w:pPr>
          </w:p>
        </w:tc>
        <w:tc>
          <w:tcPr>
            <w:tcW w:w="1800" w:type="dxa"/>
            <w:shd w:val="clear" w:color="auto" w:fill="E5DFEC" w:themeFill="accent4" w:themeFillTint="33"/>
            <w:vAlign w:val="center"/>
            <w:hideMark/>
          </w:tcPr>
          <w:p w14:paraId="577DC47A" w14:textId="3B119FA2" w:rsidR="007D6C1F" w:rsidRPr="00A82482" w:rsidRDefault="007D6C1F" w:rsidP="003C6168">
            <w:pPr>
              <w:rPr>
                <w:sz w:val="20"/>
                <w:szCs w:val="20"/>
              </w:rPr>
            </w:pPr>
            <w:r w:rsidRPr="00A82482">
              <w:rPr>
                <w:sz w:val="20"/>
                <w:szCs w:val="20"/>
              </w:rPr>
              <w:t>Availability of Monitoring Spatial Data</w:t>
            </w:r>
          </w:p>
        </w:tc>
        <w:tc>
          <w:tcPr>
            <w:tcW w:w="1486" w:type="dxa"/>
            <w:shd w:val="clear" w:color="auto" w:fill="E5DFEC" w:themeFill="accent4" w:themeFillTint="33"/>
            <w:vAlign w:val="center"/>
            <w:hideMark/>
          </w:tcPr>
          <w:p w14:paraId="0EE76107" w14:textId="77777777" w:rsidR="007D6C1F" w:rsidRPr="00A82482" w:rsidRDefault="007D6C1F" w:rsidP="003C6168">
            <w:pPr>
              <w:rPr>
                <w:sz w:val="20"/>
                <w:szCs w:val="20"/>
              </w:rPr>
            </w:pPr>
            <w:r w:rsidRPr="00A82482">
              <w:rPr>
                <w:sz w:val="20"/>
                <w:szCs w:val="20"/>
              </w:rPr>
              <w:t>Ordinal</w:t>
            </w:r>
          </w:p>
        </w:tc>
        <w:tc>
          <w:tcPr>
            <w:tcW w:w="2204" w:type="dxa"/>
            <w:shd w:val="clear" w:color="auto" w:fill="E5DFEC" w:themeFill="accent4" w:themeFillTint="33"/>
            <w:vAlign w:val="center"/>
            <w:hideMark/>
          </w:tcPr>
          <w:p w14:paraId="5D8201D0" w14:textId="77777777" w:rsidR="007D6C1F" w:rsidRPr="00A82482" w:rsidRDefault="007D6C1F" w:rsidP="003C6168">
            <w:pPr>
              <w:rPr>
                <w:sz w:val="20"/>
                <w:szCs w:val="20"/>
              </w:rPr>
            </w:pPr>
            <w:r w:rsidRPr="00A82482">
              <w:rPr>
                <w:sz w:val="20"/>
                <w:szCs w:val="20"/>
              </w:rPr>
              <w:t>[0-4]</w:t>
            </w:r>
            <w:r w:rsidRPr="00A82482">
              <w:rPr>
                <w:sz w:val="20"/>
                <w:szCs w:val="20"/>
              </w:rPr>
              <w:br/>
              <w:t>0: No evidence exists that monitoring spatial data exist</w:t>
            </w:r>
            <w:r w:rsidRPr="00A82482">
              <w:rPr>
                <w:sz w:val="20"/>
                <w:szCs w:val="20"/>
              </w:rPr>
              <w:br/>
              <w:t>2: Some evidence that monitoring spatial data exist, or full evidence that monitoring spatial data exist for some projects only</w:t>
            </w:r>
            <w:r w:rsidRPr="00A82482">
              <w:rPr>
                <w:sz w:val="20"/>
                <w:szCs w:val="20"/>
              </w:rPr>
              <w:br/>
              <w:t>4: Full evidence that monitoring spatial data exist for all projects</w:t>
            </w:r>
          </w:p>
        </w:tc>
      </w:tr>
      <w:tr w:rsidR="007D6C1F" w:rsidRPr="00D53357" w14:paraId="1FE1D79F" w14:textId="77777777" w:rsidTr="007D6C1F">
        <w:trPr>
          <w:trHeight w:val="576"/>
          <w:tblHeader/>
        </w:trPr>
        <w:tc>
          <w:tcPr>
            <w:tcW w:w="1771" w:type="dxa"/>
            <w:vMerge/>
            <w:shd w:val="clear" w:color="auto" w:fill="E5DFEC" w:themeFill="accent4" w:themeFillTint="33"/>
            <w:vAlign w:val="center"/>
            <w:hideMark/>
          </w:tcPr>
          <w:p w14:paraId="2A065FCE" w14:textId="36EA67AE" w:rsidR="007D6C1F" w:rsidRPr="00A82482" w:rsidRDefault="007D6C1F" w:rsidP="003C6168">
            <w:pPr>
              <w:rPr>
                <w:sz w:val="20"/>
                <w:szCs w:val="20"/>
              </w:rPr>
            </w:pPr>
          </w:p>
        </w:tc>
        <w:tc>
          <w:tcPr>
            <w:tcW w:w="2027" w:type="dxa"/>
            <w:vMerge/>
            <w:shd w:val="clear" w:color="auto" w:fill="E5DFEC" w:themeFill="accent4" w:themeFillTint="33"/>
            <w:vAlign w:val="center"/>
          </w:tcPr>
          <w:p w14:paraId="4542BB34" w14:textId="77777777" w:rsidR="007D6C1F" w:rsidRPr="00A82482" w:rsidRDefault="007D6C1F" w:rsidP="007D6C1F">
            <w:pPr>
              <w:rPr>
                <w:sz w:val="20"/>
                <w:szCs w:val="20"/>
              </w:rPr>
            </w:pPr>
          </w:p>
        </w:tc>
        <w:tc>
          <w:tcPr>
            <w:tcW w:w="1800" w:type="dxa"/>
            <w:shd w:val="clear" w:color="auto" w:fill="E5DFEC" w:themeFill="accent4" w:themeFillTint="33"/>
            <w:vAlign w:val="center"/>
            <w:hideMark/>
          </w:tcPr>
          <w:p w14:paraId="519621AD" w14:textId="7E0FF54E" w:rsidR="007D6C1F" w:rsidRPr="00A82482" w:rsidRDefault="007D6C1F" w:rsidP="003C6168">
            <w:pPr>
              <w:rPr>
                <w:sz w:val="20"/>
                <w:szCs w:val="20"/>
              </w:rPr>
            </w:pPr>
            <w:r w:rsidRPr="00A82482">
              <w:rPr>
                <w:sz w:val="20"/>
                <w:szCs w:val="20"/>
              </w:rPr>
              <w:t>Accessibility of Monitoring Spatial Data</w:t>
            </w:r>
          </w:p>
        </w:tc>
        <w:tc>
          <w:tcPr>
            <w:tcW w:w="1486" w:type="dxa"/>
            <w:shd w:val="clear" w:color="auto" w:fill="E5DFEC" w:themeFill="accent4" w:themeFillTint="33"/>
            <w:vAlign w:val="center"/>
            <w:hideMark/>
          </w:tcPr>
          <w:p w14:paraId="0796BA66" w14:textId="77777777" w:rsidR="007D6C1F" w:rsidRPr="00A82482" w:rsidRDefault="007D6C1F" w:rsidP="003C6168">
            <w:pPr>
              <w:rPr>
                <w:sz w:val="20"/>
                <w:szCs w:val="20"/>
              </w:rPr>
            </w:pPr>
            <w:r w:rsidRPr="00A82482">
              <w:rPr>
                <w:sz w:val="20"/>
                <w:szCs w:val="20"/>
              </w:rPr>
              <w:t>Ordinal</w:t>
            </w:r>
          </w:p>
        </w:tc>
        <w:tc>
          <w:tcPr>
            <w:tcW w:w="2204" w:type="dxa"/>
            <w:shd w:val="clear" w:color="auto" w:fill="E5DFEC" w:themeFill="accent4" w:themeFillTint="33"/>
            <w:vAlign w:val="center"/>
            <w:hideMark/>
          </w:tcPr>
          <w:p w14:paraId="3C7998A5" w14:textId="77777777" w:rsidR="007D6C1F" w:rsidRPr="00A82482" w:rsidRDefault="007D6C1F" w:rsidP="003C6168">
            <w:pPr>
              <w:rPr>
                <w:sz w:val="20"/>
                <w:szCs w:val="20"/>
              </w:rPr>
            </w:pPr>
            <w:r w:rsidRPr="00A82482">
              <w:rPr>
                <w:sz w:val="20"/>
                <w:szCs w:val="20"/>
              </w:rPr>
              <w:t>[0-4]</w:t>
            </w:r>
            <w:r w:rsidRPr="00A82482">
              <w:rPr>
                <w:sz w:val="20"/>
                <w:szCs w:val="20"/>
              </w:rPr>
              <w:br/>
              <w:t>0: No public access to monitoring spatial data for any projects</w:t>
            </w:r>
            <w:r w:rsidRPr="00A82482">
              <w:rPr>
                <w:sz w:val="20"/>
                <w:szCs w:val="20"/>
              </w:rPr>
              <w:br/>
              <w:t>2: Limited public access (some monitoring spatial data public)</w:t>
            </w:r>
            <w:r w:rsidRPr="00A82482">
              <w:rPr>
                <w:sz w:val="20"/>
                <w:szCs w:val="20"/>
              </w:rPr>
              <w:br/>
              <w:t>4: Full public access to monitoring spatial data for all projects</w:t>
            </w:r>
          </w:p>
        </w:tc>
      </w:tr>
      <w:tr w:rsidR="007D6C1F" w:rsidRPr="00D53357" w14:paraId="2C19C861" w14:textId="77777777" w:rsidTr="007D6C1F">
        <w:trPr>
          <w:trHeight w:val="576"/>
          <w:tblHeader/>
        </w:trPr>
        <w:tc>
          <w:tcPr>
            <w:tcW w:w="1771" w:type="dxa"/>
            <w:vMerge w:val="restart"/>
            <w:shd w:val="clear" w:color="auto" w:fill="FDE9D9" w:themeFill="accent6" w:themeFillTint="33"/>
            <w:vAlign w:val="center"/>
            <w:hideMark/>
          </w:tcPr>
          <w:p w14:paraId="3619B4E5" w14:textId="430078E6" w:rsidR="007D6C1F" w:rsidRPr="00A82482" w:rsidRDefault="007D6C1F" w:rsidP="003C6168">
            <w:pPr>
              <w:rPr>
                <w:sz w:val="20"/>
                <w:szCs w:val="20"/>
              </w:rPr>
            </w:pPr>
            <w:r w:rsidRPr="00A82482">
              <w:rPr>
                <w:sz w:val="20"/>
                <w:szCs w:val="20"/>
              </w:rPr>
              <w:t>Monitoring and Reporting System</w:t>
            </w:r>
          </w:p>
        </w:tc>
        <w:tc>
          <w:tcPr>
            <w:tcW w:w="2027" w:type="dxa"/>
            <w:vMerge w:val="restart"/>
            <w:shd w:val="clear" w:color="auto" w:fill="FDE9D9" w:themeFill="accent6" w:themeFillTint="33"/>
            <w:vAlign w:val="center"/>
          </w:tcPr>
          <w:p w14:paraId="2DB6301F" w14:textId="6E246645" w:rsidR="007D6C1F" w:rsidRPr="00A82482" w:rsidRDefault="007D6C1F" w:rsidP="007D6C1F">
            <w:pPr>
              <w:rPr>
                <w:sz w:val="20"/>
                <w:szCs w:val="20"/>
              </w:rPr>
            </w:pPr>
            <w:r w:rsidRPr="00136B3F">
              <w:rPr>
                <w:sz w:val="20"/>
                <w:szCs w:val="20"/>
              </w:rPr>
              <w:t>The policies, frameworks, and toolkits for the monitoring and reporting of project-level information. These systems promote cultures of rigorous monitoring and learning.  The existence of output reporting system frameworks and plans is typically a precursor to the development of more specific tools project managers can use to report outputs.</w:t>
            </w:r>
          </w:p>
        </w:tc>
        <w:tc>
          <w:tcPr>
            <w:tcW w:w="1800" w:type="dxa"/>
            <w:shd w:val="clear" w:color="auto" w:fill="FDE9D9" w:themeFill="accent6" w:themeFillTint="33"/>
            <w:vAlign w:val="center"/>
            <w:hideMark/>
          </w:tcPr>
          <w:p w14:paraId="133D8FA2" w14:textId="2C149C20" w:rsidR="007D6C1F" w:rsidRPr="00A82482" w:rsidRDefault="007D6C1F" w:rsidP="003C6168">
            <w:pPr>
              <w:rPr>
                <w:sz w:val="20"/>
                <w:szCs w:val="20"/>
              </w:rPr>
            </w:pPr>
            <w:r w:rsidRPr="00A82482">
              <w:rPr>
                <w:sz w:val="20"/>
                <w:szCs w:val="20"/>
              </w:rPr>
              <w:t>Standardized Terminology</w:t>
            </w:r>
          </w:p>
        </w:tc>
        <w:tc>
          <w:tcPr>
            <w:tcW w:w="1486" w:type="dxa"/>
            <w:shd w:val="clear" w:color="auto" w:fill="FDE9D9" w:themeFill="accent6" w:themeFillTint="33"/>
            <w:vAlign w:val="center"/>
            <w:hideMark/>
          </w:tcPr>
          <w:p w14:paraId="3BBBF68B" w14:textId="77777777" w:rsidR="007D6C1F" w:rsidRPr="00A82482" w:rsidRDefault="007D6C1F" w:rsidP="003C6168">
            <w:pPr>
              <w:rPr>
                <w:sz w:val="20"/>
                <w:szCs w:val="20"/>
              </w:rPr>
            </w:pPr>
            <w:r w:rsidRPr="00A82482">
              <w:rPr>
                <w:sz w:val="20"/>
                <w:szCs w:val="20"/>
              </w:rPr>
              <w:t>Binary</w:t>
            </w:r>
          </w:p>
        </w:tc>
        <w:tc>
          <w:tcPr>
            <w:tcW w:w="2204" w:type="dxa"/>
            <w:shd w:val="clear" w:color="auto" w:fill="FDE9D9" w:themeFill="accent6" w:themeFillTint="33"/>
            <w:vAlign w:val="center"/>
            <w:hideMark/>
          </w:tcPr>
          <w:p w14:paraId="34EE1148" w14:textId="77777777" w:rsidR="007D6C1F" w:rsidRPr="00A82482" w:rsidRDefault="007D6C1F" w:rsidP="003C6168">
            <w:pPr>
              <w:rPr>
                <w:sz w:val="20"/>
                <w:szCs w:val="20"/>
              </w:rPr>
            </w:pPr>
            <w:r w:rsidRPr="00A82482">
              <w:rPr>
                <w:sz w:val="20"/>
                <w:szCs w:val="20"/>
              </w:rPr>
              <w:t>[0,4]</w:t>
            </w:r>
            <w:r w:rsidRPr="00A82482">
              <w:rPr>
                <w:sz w:val="20"/>
                <w:szCs w:val="20"/>
              </w:rPr>
              <w:br/>
              <w:t xml:space="preserve">0: </w:t>
            </w:r>
            <w:r>
              <w:rPr>
                <w:sz w:val="20"/>
                <w:szCs w:val="20"/>
              </w:rPr>
              <w:t>Publicly</w:t>
            </w:r>
            <w:r w:rsidRPr="00A82482">
              <w:rPr>
                <w:sz w:val="20"/>
                <w:szCs w:val="20"/>
              </w:rPr>
              <w:t xml:space="preserve"> available dictionary exists</w:t>
            </w:r>
            <w:r w:rsidRPr="00A82482">
              <w:rPr>
                <w:sz w:val="20"/>
                <w:szCs w:val="20"/>
              </w:rPr>
              <w:br/>
              <w:t xml:space="preserve">4: </w:t>
            </w:r>
            <w:r>
              <w:rPr>
                <w:sz w:val="20"/>
                <w:szCs w:val="20"/>
              </w:rPr>
              <w:t>Publicly</w:t>
            </w:r>
            <w:r w:rsidRPr="00A82482">
              <w:rPr>
                <w:sz w:val="20"/>
                <w:szCs w:val="20"/>
              </w:rPr>
              <w:t xml:space="preserve"> available dictionary doesn't exist</w:t>
            </w:r>
          </w:p>
        </w:tc>
      </w:tr>
      <w:tr w:rsidR="007D6C1F" w:rsidRPr="00D53357" w14:paraId="49AC7A9F" w14:textId="77777777" w:rsidTr="007D6C1F">
        <w:trPr>
          <w:trHeight w:val="576"/>
          <w:tblHeader/>
        </w:trPr>
        <w:tc>
          <w:tcPr>
            <w:tcW w:w="1771" w:type="dxa"/>
            <w:vMerge/>
            <w:shd w:val="clear" w:color="auto" w:fill="FDE9D9" w:themeFill="accent6" w:themeFillTint="33"/>
            <w:vAlign w:val="center"/>
            <w:hideMark/>
          </w:tcPr>
          <w:p w14:paraId="7429072E" w14:textId="4C28BFF1" w:rsidR="007D6C1F" w:rsidRPr="00A82482" w:rsidRDefault="007D6C1F" w:rsidP="003C6168">
            <w:pPr>
              <w:rPr>
                <w:sz w:val="20"/>
                <w:szCs w:val="20"/>
              </w:rPr>
            </w:pPr>
          </w:p>
        </w:tc>
        <w:tc>
          <w:tcPr>
            <w:tcW w:w="2027" w:type="dxa"/>
            <w:vMerge/>
            <w:shd w:val="clear" w:color="auto" w:fill="FDE9D9" w:themeFill="accent6" w:themeFillTint="33"/>
            <w:vAlign w:val="center"/>
          </w:tcPr>
          <w:p w14:paraId="3E824CF6" w14:textId="77777777" w:rsidR="007D6C1F" w:rsidRDefault="007D6C1F" w:rsidP="007D6C1F">
            <w:pPr>
              <w:rPr>
                <w:sz w:val="20"/>
                <w:szCs w:val="20"/>
              </w:rPr>
            </w:pPr>
          </w:p>
        </w:tc>
        <w:tc>
          <w:tcPr>
            <w:tcW w:w="1800" w:type="dxa"/>
            <w:shd w:val="clear" w:color="auto" w:fill="FDE9D9" w:themeFill="accent6" w:themeFillTint="33"/>
            <w:vAlign w:val="center"/>
            <w:hideMark/>
          </w:tcPr>
          <w:p w14:paraId="650556A9" w14:textId="4160ED74" w:rsidR="007D6C1F" w:rsidRPr="00A82482" w:rsidRDefault="007D6C1F" w:rsidP="003C6168">
            <w:pPr>
              <w:rPr>
                <w:sz w:val="20"/>
                <w:szCs w:val="20"/>
              </w:rPr>
            </w:pPr>
            <w:r>
              <w:rPr>
                <w:sz w:val="20"/>
                <w:szCs w:val="20"/>
              </w:rPr>
              <w:t>Monitoring and Reporting Policy</w:t>
            </w:r>
          </w:p>
        </w:tc>
        <w:tc>
          <w:tcPr>
            <w:tcW w:w="1486" w:type="dxa"/>
            <w:shd w:val="clear" w:color="auto" w:fill="FDE9D9" w:themeFill="accent6" w:themeFillTint="33"/>
            <w:vAlign w:val="center"/>
            <w:hideMark/>
          </w:tcPr>
          <w:p w14:paraId="18DA816A" w14:textId="77777777" w:rsidR="007D6C1F" w:rsidRPr="00A82482" w:rsidRDefault="007D6C1F" w:rsidP="003C6168">
            <w:pPr>
              <w:rPr>
                <w:sz w:val="20"/>
                <w:szCs w:val="20"/>
              </w:rPr>
            </w:pPr>
            <w:r w:rsidRPr="00A82482">
              <w:rPr>
                <w:sz w:val="20"/>
                <w:szCs w:val="20"/>
              </w:rPr>
              <w:t>Ordinal</w:t>
            </w:r>
          </w:p>
        </w:tc>
        <w:tc>
          <w:tcPr>
            <w:tcW w:w="2204" w:type="dxa"/>
            <w:shd w:val="clear" w:color="auto" w:fill="FDE9D9" w:themeFill="accent6" w:themeFillTint="33"/>
            <w:vAlign w:val="center"/>
            <w:hideMark/>
          </w:tcPr>
          <w:p w14:paraId="11A38831" w14:textId="77777777" w:rsidR="007D6C1F" w:rsidRPr="00A82482" w:rsidRDefault="007D6C1F" w:rsidP="003C6168">
            <w:pPr>
              <w:rPr>
                <w:sz w:val="20"/>
                <w:szCs w:val="20"/>
              </w:rPr>
            </w:pPr>
            <w:r w:rsidRPr="00A82482">
              <w:rPr>
                <w:sz w:val="20"/>
                <w:szCs w:val="20"/>
              </w:rPr>
              <w:t>[0-4]</w:t>
            </w:r>
            <w:r w:rsidRPr="00A82482">
              <w:rPr>
                <w:sz w:val="20"/>
                <w:szCs w:val="20"/>
              </w:rPr>
              <w:br/>
              <w:t xml:space="preserve">0: No </w:t>
            </w:r>
            <w:r>
              <w:rPr>
                <w:sz w:val="20"/>
                <w:szCs w:val="20"/>
              </w:rPr>
              <w:t>publicly</w:t>
            </w:r>
            <w:r w:rsidRPr="00A82482">
              <w:rPr>
                <w:sz w:val="20"/>
                <w:szCs w:val="20"/>
              </w:rPr>
              <w:t xml:space="preserve"> available policy/framework exists</w:t>
            </w:r>
            <w:r w:rsidRPr="00A82482">
              <w:rPr>
                <w:sz w:val="20"/>
                <w:szCs w:val="20"/>
              </w:rPr>
              <w:br/>
              <w:t xml:space="preserve">2: </w:t>
            </w:r>
            <w:r>
              <w:rPr>
                <w:sz w:val="20"/>
                <w:szCs w:val="20"/>
              </w:rPr>
              <w:t>Publicly</w:t>
            </w:r>
            <w:r w:rsidRPr="00A82482">
              <w:rPr>
                <w:sz w:val="20"/>
                <w:szCs w:val="20"/>
              </w:rPr>
              <w:t xml:space="preserve"> available policy/framework exists, but missing key information</w:t>
            </w:r>
            <w:r w:rsidRPr="00A82482">
              <w:rPr>
                <w:sz w:val="20"/>
                <w:szCs w:val="20"/>
              </w:rPr>
              <w:br/>
              <w:t xml:space="preserve">4: Framework </w:t>
            </w:r>
            <w:r>
              <w:rPr>
                <w:sz w:val="20"/>
                <w:szCs w:val="20"/>
              </w:rPr>
              <w:t>publicly</w:t>
            </w:r>
            <w:r w:rsidRPr="00A82482">
              <w:rPr>
                <w:sz w:val="20"/>
                <w:szCs w:val="20"/>
              </w:rPr>
              <w:t xml:space="preserve"> available, and is robust</w:t>
            </w:r>
          </w:p>
        </w:tc>
      </w:tr>
      <w:tr w:rsidR="007D6C1F" w:rsidRPr="00D53357" w14:paraId="3D58D875" w14:textId="77777777" w:rsidTr="007D6C1F">
        <w:trPr>
          <w:trHeight w:val="576"/>
          <w:tblHeader/>
        </w:trPr>
        <w:tc>
          <w:tcPr>
            <w:tcW w:w="1771" w:type="dxa"/>
            <w:vMerge/>
            <w:shd w:val="clear" w:color="auto" w:fill="FDE9D9" w:themeFill="accent6" w:themeFillTint="33"/>
            <w:vAlign w:val="center"/>
            <w:hideMark/>
          </w:tcPr>
          <w:p w14:paraId="78E8EFCA" w14:textId="1528D2AF" w:rsidR="007D6C1F" w:rsidRPr="00A82482" w:rsidRDefault="007D6C1F" w:rsidP="003C6168">
            <w:pPr>
              <w:rPr>
                <w:sz w:val="20"/>
                <w:szCs w:val="20"/>
              </w:rPr>
            </w:pPr>
          </w:p>
        </w:tc>
        <w:tc>
          <w:tcPr>
            <w:tcW w:w="2027" w:type="dxa"/>
            <w:vMerge/>
            <w:shd w:val="clear" w:color="auto" w:fill="FDE9D9" w:themeFill="accent6" w:themeFillTint="33"/>
            <w:vAlign w:val="center"/>
          </w:tcPr>
          <w:p w14:paraId="59BD52A5" w14:textId="77777777" w:rsidR="007D6C1F" w:rsidRDefault="007D6C1F" w:rsidP="007D6C1F">
            <w:pPr>
              <w:rPr>
                <w:sz w:val="20"/>
                <w:szCs w:val="20"/>
              </w:rPr>
            </w:pPr>
          </w:p>
        </w:tc>
        <w:tc>
          <w:tcPr>
            <w:tcW w:w="1800" w:type="dxa"/>
            <w:shd w:val="clear" w:color="auto" w:fill="FDE9D9" w:themeFill="accent6" w:themeFillTint="33"/>
            <w:vAlign w:val="center"/>
            <w:hideMark/>
          </w:tcPr>
          <w:p w14:paraId="1B4403E8" w14:textId="27CF60B2" w:rsidR="007D6C1F" w:rsidRPr="00A82482" w:rsidRDefault="007D6C1F" w:rsidP="003C6168">
            <w:pPr>
              <w:rPr>
                <w:sz w:val="20"/>
                <w:szCs w:val="20"/>
              </w:rPr>
            </w:pPr>
            <w:r>
              <w:rPr>
                <w:sz w:val="20"/>
                <w:szCs w:val="20"/>
              </w:rPr>
              <w:t>Open</w:t>
            </w:r>
            <w:r w:rsidRPr="00A82482">
              <w:rPr>
                <w:sz w:val="20"/>
                <w:szCs w:val="20"/>
              </w:rPr>
              <w:t xml:space="preserve"> Access to Monitoring </w:t>
            </w:r>
            <w:r>
              <w:rPr>
                <w:sz w:val="20"/>
                <w:szCs w:val="20"/>
              </w:rPr>
              <w:t xml:space="preserve">Data </w:t>
            </w:r>
            <w:r w:rsidRPr="00A82482">
              <w:rPr>
                <w:sz w:val="20"/>
                <w:szCs w:val="20"/>
              </w:rPr>
              <w:t>Policy</w:t>
            </w:r>
          </w:p>
        </w:tc>
        <w:tc>
          <w:tcPr>
            <w:tcW w:w="1486" w:type="dxa"/>
            <w:shd w:val="clear" w:color="auto" w:fill="FDE9D9" w:themeFill="accent6" w:themeFillTint="33"/>
            <w:vAlign w:val="center"/>
            <w:hideMark/>
          </w:tcPr>
          <w:p w14:paraId="1B56A7EF" w14:textId="77777777" w:rsidR="007D6C1F" w:rsidRPr="00A82482" w:rsidRDefault="007D6C1F" w:rsidP="003C6168">
            <w:pPr>
              <w:rPr>
                <w:sz w:val="20"/>
                <w:szCs w:val="20"/>
              </w:rPr>
            </w:pPr>
            <w:r w:rsidRPr="00A82482">
              <w:rPr>
                <w:sz w:val="20"/>
                <w:szCs w:val="20"/>
              </w:rPr>
              <w:t>Ordinal</w:t>
            </w:r>
          </w:p>
        </w:tc>
        <w:tc>
          <w:tcPr>
            <w:tcW w:w="2204" w:type="dxa"/>
            <w:shd w:val="clear" w:color="auto" w:fill="FDE9D9" w:themeFill="accent6" w:themeFillTint="33"/>
            <w:vAlign w:val="center"/>
            <w:hideMark/>
          </w:tcPr>
          <w:p w14:paraId="66754EB1" w14:textId="77777777" w:rsidR="007D6C1F" w:rsidRPr="00A82482" w:rsidRDefault="007D6C1F" w:rsidP="003C6168">
            <w:pPr>
              <w:rPr>
                <w:sz w:val="20"/>
                <w:szCs w:val="20"/>
              </w:rPr>
            </w:pPr>
            <w:r w:rsidRPr="00A82482">
              <w:rPr>
                <w:sz w:val="20"/>
                <w:szCs w:val="20"/>
              </w:rPr>
              <w:t>[0-4]</w:t>
            </w:r>
            <w:r w:rsidRPr="00A82482">
              <w:rPr>
                <w:sz w:val="20"/>
                <w:szCs w:val="20"/>
              </w:rPr>
              <w:br/>
              <w:t>0: No public access, or no policy found</w:t>
            </w:r>
            <w:r w:rsidRPr="00A82482">
              <w:rPr>
                <w:sz w:val="20"/>
                <w:szCs w:val="20"/>
              </w:rPr>
              <w:br/>
              <w:t>2: Limited public access (some materials not public), or policy found but ambiguous</w:t>
            </w:r>
            <w:r w:rsidRPr="00A82482">
              <w:rPr>
                <w:sz w:val="20"/>
                <w:szCs w:val="20"/>
              </w:rPr>
              <w:br/>
              <w:t>4: Full public access</w:t>
            </w:r>
          </w:p>
        </w:tc>
      </w:tr>
    </w:tbl>
    <w:p w14:paraId="1474D986" w14:textId="77777777" w:rsidR="003C6168" w:rsidRDefault="003C6168" w:rsidP="003C6168"/>
    <w:p w14:paraId="61C99510" w14:textId="77777777" w:rsidR="003C6168" w:rsidRDefault="003C6168" w:rsidP="003C6168"/>
    <w:p w14:paraId="0D68672C" w14:textId="77777777" w:rsidR="003C6168" w:rsidRDefault="003C6168" w:rsidP="003C6168">
      <w:pPr>
        <w:rPr>
          <w:b/>
        </w:rPr>
      </w:pPr>
      <w:r>
        <w:rPr>
          <w:b/>
        </w:rPr>
        <w:t>Weighing In: End User Purpose Informs our Weights</w:t>
      </w:r>
    </w:p>
    <w:p w14:paraId="794ACD16" w14:textId="77777777" w:rsidR="003C6168" w:rsidRDefault="003C6168" w:rsidP="003C6168"/>
    <w:p w14:paraId="45AAB77C" w14:textId="77777777" w:rsidR="003C6168" w:rsidRDefault="003C6168" w:rsidP="003C6168">
      <w:r>
        <w:t xml:space="preserve">With our literature-informed operationalization constructed, we then settled on a weighting methodology for each of our 5 categories.  In choosing our weights, we kept the end user in mind at all times.  A key tenant of the </w:t>
      </w:r>
      <w:hyperlink r:id="rId7" w:history="1">
        <w:r w:rsidRPr="00AA4FEB">
          <w:rPr>
            <w:rStyle w:val="Hyperlink"/>
          </w:rPr>
          <w:t>Data Revolution</w:t>
        </w:r>
      </w:hyperlink>
      <w:r>
        <w:t xml:space="preserve"> is that development professionals must ask of themselves </w:t>
      </w:r>
      <w:hyperlink r:id="rId8" w:history="1">
        <w:r w:rsidRPr="00AA4FEB">
          <w:rPr>
            <w:rStyle w:val="Hyperlink"/>
          </w:rPr>
          <w:t xml:space="preserve">“data for what, data for whom?” </w:t>
        </w:r>
      </w:hyperlink>
      <w:r>
        <w:t xml:space="preserve"> At DG, we believe that data collection efforts must center on the needs of the users. Understand how data will be used and by whom can help ensure data efforts are targeted and efficient.  Similarly, in assigning weights, we wanted to ensure that the elements of the monitoring systems that will most affect the end user held the most weight in the final DP score.  For this reason, the weight assigned to each criterion is anchored to how essential that element is to the experience of the end user; in the “</w:t>
      </w:r>
      <w:r w:rsidRPr="00884F42">
        <w:t>Ease of Automatic Monitoring Data Extraction</w:t>
      </w:r>
      <w:r>
        <w:t xml:space="preserve">” category, for example, the DP use of </w:t>
      </w:r>
      <w:hyperlink r:id="rId9" w:history="1">
        <w:r w:rsidRPr="00884F42">
          <w:rPr>
            <w:rStyle w:val="Hyperlink"/>
          </w:rPr>
          <w:t>open formats</w:t>
        </w:r>
      </w:hyperlink>
      <w:r>
        <w:t xml:space="preserve"> is more essential for the end user to make use of DP data than is than is DP use of a standardized monitoring template, so it receives a higher weight.</w:t>
      </w:r>
    </w:p>
    <w:p w14:paraId="414DD881" w14:textId="77777777" w:rsidR="003C6168" w:rsidRDefault="003C6168" w:rsidP="003C6168"/>
    <w:p w14:paraId="62779923" w14:textId="77777777" w:rsidR="003C6168" w:rsidRPr="009E4E6F" w:rsidRDefault="003C6168" w:rsidP="003C6168">
      <w:pPr>
        <w:rPr>
          <w:u w:val="single"/>
        </w:rPr>
      </w:pPr>
      <w:r>
        <w:rPr>
          <w:u w:val="single"/>
        </w:rPr>
        <w:t>Table 3: Weight for it- Prioritizing End User Experience</w:t>
      </w:r>
    </w:p>
    <w:p w14:paraId="213AD079" w14:textId="77777777" w:rsidR="003C6168" w:rsidRDefault="003C6168" w:rsidP="003C6168"/>
    <w:tbl>
      <w:tblPr>
        <w:tblStyle w:val="TableGrid"/>
        <w:tblW w:w="0" w:type="auto"/>
        <w:tblLook w:val="04A0" w:firstRow="1" w:lastRow="0" w:firstColumn="1" w:lastColumn="0" w:noHBand="0" w:noVBand="1"/>
      </w:tblPr>
      <w:tblGrid>
        <w:gridCol w:w="4158"/>
        <w:gridCol w:w="3824"/>
        <w:gridCol w:w="874"/>
      </w:tblGrid>
      <w:tr w:rsidR="003C6168" w:rsidRPr="0081453A" w14:paraId="36982B95" w14:textId="77777777" w:rsidTr="003C6168">
        <w:trPr>
          <w:trHeight w:hRule="exact" w:val="576"/>
        </w:trPr>
        <w:tc>
          <w:tcPr>
            <w:tcW w:w="4158" w:type="dxa"/>
            <w:shd w:val="clear" w:color="auto" w:fill="F2F2F2" w:themeFill="background1" w:themeFillShade="F2"/>
            <w:vAlign w:val="center"/>
            <w:hideMark/>
          </w:tcPr>
          <w:p w14:paraId="685C75FD" w14:textId="77777777" w:rsidR="003C6168" w:rsidRPr="00A82482" w:rsidRDefault="003C6168" w:rsidP="003C6168">
            <w:pPr>
              <w:jc w:val="center"/>
              <w:rPr>
                <w:b/>
                <w:bCs/>
                <w:sz w:val="20"/>
                <w:szCs w:val="20"/>
              </w:rPr>
            </w:pPr>
            <w:r w:rsidRPr="00A82482">
              <w:rPr>
                <w:b/>
                <w:bCs/>
                <w:sz w:val="20"/>
                <w:szCs w:val="20"/>
              </w:rPr>
              <w:t>Category</w:t>
            </w:r>
          </w:p>
        </w:tc>
        <w:tc>
          <w:tcPr>
            <w:tcW w:w="3824" w:type="dxa"/>
            <w:shd w:val="clear" w:color="auto" w:fill="F2F2F2" w:themeFill="background1" w:themeFillShade="F2"/>
            <w:vAlign w:val="center"/>
            <w:hideMark/>
          </w:tcPr>
          <w:p w14:paraId="3E27686A" w14:textId="77777777" w:rsidR="003C6168" w:rsidRPr="00A82482" w:rsidRDefault="003C6168" w:rsidP="003C6168">
            <w:pPr>
              <w:jc w:val="center"/>
              <w:rPr>
                <w:b/>
                <w:bCs/>
                <w:sz w:val="20"/>
                <w:szCs w:val="20"/>
              </w:rPr>
            </w:pPr>
            <w:r w:rsidRPr="00A82482">
              <w:rPr>
                <w:b/>
                <w:bCs/>
                <w:sz w:val="20"/>
                <w:szCs w:val="20"/>
              </w:rPr>
              <w:t>Criterion</w:t>
            </w:r>
          </w:p>
        </w:tc>
        <w:tc>
          <w:tcPr>
            <w:tcW w:w="874" w:type="dxa"/>
            <w:shd w:val="clear" w:color="auto" w:fill="F2F2F2" w:themeFill="background1" w:themeFillShade="F2"/>
            <w:vAlign w:val="center"/>
          </w:tcPr>
          <w:p w14:paraId="08DD8DDE" w14:textId="77777777" w:rsidR="003C6168" w:rsidRPr="00A82482" w:rsidRDefault="003C6168" w:rsidP="003C6168">
            <w:pPr>
              <w:jc w:val="center"/>
              <w:rPr>
                <w:b/>
                <w:bCs/>
                <w:sz w:val="20"/>
                <w:szCs w:val="20"/>
              </w:rPr>
            </w:pPr>
            <w:r>
              <w:rPr>
                <w:b/>
                <w:bCs/>
                <w:sz w:val="20"/>
                <w:szCs w:val="20"/>
              </w:rPr>
              <w:t>Weight</w:t>
            </w:r>
          </w:p>
        </w:tc>
      </w:tr>
      <w:tr w:rsidR="002A7FA6" w:rsidRPr="0081453A" w14:paraId="37DA08AB" w14:textId="77777777" w:rsidTr="003C6168">
        <w:trPr>
          <w:trHeight w:hRule="exact" w:val="576"/>
        </w:trPr>
        <w:tc>
          <w:tcPr>
            <w:tcW w:w="4158" w:type="dxa"/>
            <w:vMerge w:val="restart"/>
            <w:shd w:val="clear" w:color="auto" w:fill="DBE5F1" w:themeFill="accent1" w:themeFillTint="33"/>
            <w:vAlign w:val="center"/>
            <w:hideMark/>
          </w:tcPr>
          <w:p w14:paraId="06CCB3DF" w14:textId="5670ECFA" w:rsidR="002A7FA6" w:rsidRPr="00A82482" w:rsidRDefault="002A7FA6" w:rsidP="003C6168">
            <w:pPr>
              <w:rPr>
                <w:sz w:val="20"/>
                <w:szCs w:val="20"/>
              </w:rPr>
            </w:pPr>
            <w:r w:rsidRPr="00A82482">
              <w:rPr>
                <w:sz w:val="20"/>
                <w:szCs w:val="20"/>
              </w:rPr>
              <w:t>Monitoring Data Accessibility</w:t>
            </w:r>
          </w:p>
        </w:tc>
        <w:tc>
          <w:tcPr>
            <w:tcW w:w="3824" w:type="dxa"/>
            <w:shd w:val="clear" w:color="auto" w:fill="DBE5F1" w:themeFill="accent1" w:themeFillTint="33"/>
            <w:vAlign w:val="center"/>
            <w:hideMark/>
          </w:tcPr>
          <w:p w14:paraId="761D2316" w14:textId="77777777" w:rsidR="002A7FA6" w:rsidRPr="00A82482" w:rsidRDefault="002A7FA6" w:rsidP="003C6168">
            <w:pPr>
              <w:rPr>
                <w:sz w:val="20"/>
                <w:szCs w:val="20"/>
              </w:rPr>
            </w:pPr>
            <w:r w:rsidRPr="00A82482">
              <w:rPr>
                <w:sz w:val="20"/>
                <w:szCs w:val="20"/>
              </w:rPr>
              <w:t>Site Stability</w:t>
            </w:r>
          </w:p>
        </w:tc>
        <w:tc>
          <w:tcPr>
            <w:tcW w:w="874" w:type="dxa"/>
            <w:shd w:val="clear" w:color="auto" w:fill="DBE5F1" w:themeFill="accent1" w:themeFillTint="33"/>
            <w:vAlign w:val="center"/>
          </w:tcPr>
          <w:p w14:paraId="56D80238" w14:textId="77777777" w:rsidR="002A7FA6" w:rsidRPr="00A82482" w:rsidRDefault="002A7FA6" w:rsidP="003C6168">
            <w:pPr>
              <w:rPr>
                <w:sz w:val="20"/>
                <w:szCs w:val="20"/>
              </w:rPr>
            </w:pPr>
            <w:r>
              <w:rPr>
                <w:sz w:val="20"/>
                <w:szCs w:val="20"/>
              </w:rPr>
              <w:t>0.3</w:t>
            </w:r>
          </w:p>
        </w:tc>
      </w:tr>
      <w:tr w:rsidR="002A7FA6" w:rsidRPr="0081453A" w14:paraId="23BBEB40" w14:textId="77777777" w:rsidTr="003C6168">
        <w:trPr>
          <w:trHeight w:hRule="exact" w:val="576"/>
        </w:trPr>
        <w:tc>
          <w:tcPr>
            <w:tcW w:w="4158" w:type="dxa"/>
            <w:vMerge/>
            <w:shd w:val="clear" w:color="auto" w:fill="DBE5F1" w:themeFill="accent1" w:themeFillTint="33"/>
            <w:vAlign w:val="center"/>
            <w:hideMark/>
          </w:tcPr>
          <w:p w14:paraId="428B584B" w14:textId="0482CA2A" w:rsidR="002A7FA6" w:rsidRPr="00A82482" w:rsidRDefault="002A7FA6" w:rsidP="003C6168">
            <w:pPr>
              <w:rPr>
                <w:sz w:val="20"/>
                <w:szCs w:val="20"/>
              </w:rPr>
            </w:pPr>
          </w:p>
        </w:tc>
        <w:tc>
          <w:tcPr>
            <w:tcW w:w="3824" w:type="dxa"/>
            <w:shd w:val="clear" w:color="auto" w:fill="DBE5F1" w:themeFill="accent1" w:themeFillTint="33"/>
            <w:vAlign w:val="center"/>
            <w:hideMark/>
          </w:tcPr>
          <w:p w14:paraId="76C71CB8" w14:textId="77777777" w:rsidR="002A7FA6" w:rsidRPr="00A82482" w:rsidRDefault="002A7FA6" w:rsidP="003C6168">
            <w:pPr>
              <w:rPr>
                <w:sz w:val="20"/>
                <w:szCs w:val="20"/>
              </w:rPr>
            </w:pPr>
            <w:r w:rsidRPr="00A82482">
              <w:rPr>
                <w:sz w:val="20"/>
                <w:szCs w:val="20"/>
              </w:rPr>
              <w:t>Site Navigability</w:t>
            </w:r>
          </w:p>
        </w:tc>
        <w:tc>
          <w:tcPr>
            <w:tcW w:w="874" w:type="dxa"/>
            <w:shd w:val="clear" w:color="auto" w:fill="DBE5F1" w:themeFill="accent1" w:themeFillTint="33"/>
            <w:vAlign w:val="center"/>
          </w:tcPr>
          <w:p w14:paraId="4FA5B920" w14:textId="77777777" w:rsidR="002A7FA6" w:rsidRPr="00A82482" w:rsidRDefault="002A7FA6" w:rsidP="003C6168">
            <w:pPr>
              <w:rPr>
                <w:sz w:val="20"/>
                <w:szCs w:val="20"/>
              </w:rPr>
            </w:pPr>
            <w:r>
              <w:rPr>
                <w:sz w:val="20"/>
                <w:szCs w:val="20"/>
              </w:rPr>
              <w:t>0.3</w:t>
            </w:r>
          </w:p>
        </w:tc>
      </w:tr>
      <w:tr w:rsidR="002A7FA6" w:rsidRPr="0081453A" w14:paraId="60B6DD60" w14:textId="77777777" w:rsidTr="003C6168">
        <w:trPr>
          <w:trHeight w:hRule="exact" w:val="576"/>
        </w:trPr>
        <w:tc>
          <w:tcPr>
            <w:tcW w:w="4158" w:type="dxa"/>
            <w:vMerge/>
            <w:shd w:val="clear" w:color="auto" w:fill="DBE5F1" w:themeFill="accent1" w:themeFillTint="33"/>
            <w:vAlign w:val="center"/>
            <w:hideMark/>
          </w:tcPr>
          <w:p w14:paraId="7B3CBBEE" w14:textId="2CE70478" w:rsidR="002A7FA6" w:rsidRPr="00A82482" w:rsidRDefault="002A7FA6" w:rsidP="003C6168">
            <w:pPr>
              <w:rPr>
                <w:sz w:val="20"/>
                <w:szCs w:val="20"/>
              </w:rPr>
            </w:pPr>
          </w:p>
        </w:tc>
        <w:tc>
          <w:tcPr>
            <w:tcW w:w="3824" w:type="dxa"/>
            <w:shd w:val="clear" w:color="auto" w:fill="DBE5F1" w:themeFill="accent1" w:themeFillTint="33"/>
            <w:vAlign w:val="center"/>
            <w:hideMark/>
          </w:tcPr>
          <w:p w14:paraId="640296D0" w14:textId="77777777" w:rsidR="002A7FA6" w:rsidRPr="00A82482" w:rsidRDefault="002A7FA6" w:rsidP="003C6168">
            <w:pPr>
              <w:rPr>
                <w:sz w:val="20"/>
                <w:szCs w:val="20"/>
              </w:rPr>
            </w:pPr>
            <w:r w:rsidRPr="00A82482">
              <w:rPr>
                <w:sz w:val="20"/>
                <w:szCs w:val="20"/>
              </w:rPr>
              <w:t>Central Portal or Site</w:t>
            </w:r>
          </w:p>
        </w:tc>
        <w:tc>
          <w:tcPr>
            <w:tcW w:w="874" w:type="dxa"/>
            <w:shd w:val="clear" w:color="auto" w:fill="DBE5F1" w:themeFill="accent1" w:themeFillTint="33"/>
            <w:vAlign w:val="center"/>
          </w:tcPr>
          <w:p w14:paraId="5260A56B" w14:textId="77777777" w:rsidR="002A7FA6" w:rsidRPr="00A82482" w:rsidRDefault="002A7FA6" w:rsidP="003C6168">
            <w:pPr>
              <w:rPr>
                <w:sz w:val="20"/>
                <w:szCs w:val="20"/>
              </w:rPr>
            </w:pPr>
            <w:r>
              <w:rPr>
                <w:sz w:val="20"/>
                <w:szCs w:val="20"/>
              </w:rPr>
              <w:t>0.4</w:t>
            </w:r>
          </w:p>
        </w:tc>
      </w:tr>
      <w:tr w:rsidR="002A7FA6" w:rsidRPr="0081453A" w14:paraId="5D91E6E2" w14:textId="77777777" w:rsidTr="003C6168">
        <w:trPr>
          <w:trHeight w:hRule="exact" w:val="576"/>
        </w:trPr>
        <w:tc>
          <w:tcPr>
            <w:tcW w:w="4158" w:type="dxa"/>
            <w:vMerge w:val="restart"/>
            <w:shd w:val="clear" w:color="auto" w:fill="F2DBDB" w:themeFill="accent2" w:themeFillTint="33"/>
            <w:vAlign w:val="center"/>
            <w:hideMark/>
          </w:tcPr>
          <w:p w14:paraId="62578E1B" w14:textId="5EF11E90" w:rsidR="002A7FA6" w:rsidRPr="00A82482" w:rsidRDefault="002A7FA6" w:rsidP="003C6168">
            <w:pPr>
              <w:rPr>
                <w:sz w:val="20"/>
                <w:szCs w:val="20"/>
              </w:rPr>
            </w:pPr>
            <w:r w:rsidRPr="00A82482">
              <w:rPr>
                <w:sz w:val="20"/>
                <w:szCs w:val="20"/>
              </w:rPr>
              <w:t>Ease of Automatic Monitoring Data Extraction</w:t>
            </w:r>
          </w:p>
        </w:tc>
        <w:tc>
          <w:tcPr>
            <w:tcW w:w="3824" w:type="dxa"/>
            <w:shd w:val="clear" w:color="auto" w:fill="F2DBDB" w:themeFill="accent2" w:themeFillTint="33"/>
            <w:vAlign w:val="center"/>
            <w:hideMark/>
          </w:tcPr>
          <w:p w14:paraId="53F380AB" w14:textId="77777777" w:rsidR="002A7FA6" w:rsidRPr="00A82482" w:rsidRDefault="002A7FA6" w:rsidP="003C6168">
            <w:pPr>
              <w:rPr>
                <w:sz w:val="20"/>
                <w:szCs w:val="20"/>
              </w:rPr>
            </w:pPr>
            <w:r w:rsidRPr="00A82482">
              <w:rPr>
                <w:sz w:val="20"/>
                <w:szCs w:val="20"/>
              </w:rPr>
              <w:t>Use of Open Formats</w:t>
            </w:r>
          </w:p>
        </w:tc>
        <w:tc>
          <w:tcPr>
            <w:tcW w:w="874" w:type="dxa"/>
            <w:shd w:val="clear" w:color="auto" w:fill="F2DBDB" w:themeFill="accent2" w:themeFillTint="33"/>
            <w:vAlign w:val="center"/>
          </w:tcPr>
          <w:p w14:paraId="3F9BF850" w14:textId="77777777" w:rsidR="002A7FA6" w:rsidRPr="00A82482" w:rsidRDefault="002A7FA6" w:rsidP="003C6168">
            <w:pPr>
              <w:rPr>
                <w:sz w:val="20"/>
                <w:szCs w:val="20"/>
              </w:rPr>
            </w:pPr>
            <w:r>
              <w:rPr>
                <w:sz w:val="20"/>
                <w:szCs w:val="20"/>
              </w:rPr>
              <w:t>0.5</w:t>
            </w:r>
          </w:p>
        </w:tc>
      </w:tr>
      <w:tr w:rsidR="002A7FA6" w:rsidRPr="0081453A" w14:paraId="6EBD45CD" w14:textId="77777777" w:rsidTr="003C6168">
        <w:trPr>
          <w:trHeight w:hRule="exact" w:val="576"/>
        </w:trPr>
        <w:tc>
          <w:tcPr>
            <w:tcW w:w="4158" w:type="dxa"/>
            <w:vMerge/>
            <w:shd w:val="clear" w:color="auto" w:fill="F2DBDB" w:themeFill="accent2" w:themeFillTint="33"/>
            <w:vAlign w:val="center"/>
            <w:hideMark/>
          </w:tcPr>
          <w:p w14:paraId="4153536E" w14:textId="44595947" w:rsidR="002A7FA6" w:rsidRPr="00A82482" w:rsidRDefault="002A7FA6" w:rsidP="003C6168">
            <w:pPr>
              <w:rPr>
                <w:sz w:val="20"/>
                <w:szCs w:val="20"/>
              </w:rPr>
            </w:pPr>
          </w:p>
        </w:tc>
        <w:tc>
          <w:tcPr>
            <w:tcW w:w="3824" w:type="dxa"/>
            <w:shd w:val="clear" w:color="auto" w:fill="F2DBDB" w:themeFill="accent2" w:themeFillTint="33"/>
            <w:vAlign w:val="center"/>
            <w:hideMark/>
          </w:tcPr>
          <w:p w14:paraId="34B468F2" w14:textId="77777777" w:rsidR="002A7FA6" w:rsidRPr="00A82482" w:rsidRDefault="002A7FA6" w:rsidP="003C6168">
            <w:pPr>
              <w:rPr>
                <w:sz w:val="20"/>
                <w:szCs w:val="20"/>
              </w:rPr>
            </w:pPr>
            <w:r w:rsidRPr="00A82482">
              <w:rPr>
                <w:sz w:val="20"/>
                <w:szCs w:val="20"/>
              </w:rPr>
              <w:t>Dis</w:t>
            </w:r>
            <w:r>
              <w:rPr>
                <w:sz w:val="20"/>
                <w:szCs w:val="20"/>
              </w:rPr>
              <w:t>tribution of Monitoring Template</w:t>
            </w:r>
          </w:p>
        </w:tc>
        <w:tc>
          <w:tcPr>
            <w:tcW w:w="874" w:type="dxa"/>
            <w:shd w:val="clear" w:color="auto" w:fill="F2DBDB" w:themeFill="accent2" w:themeFillTint="33"/>
            <w:vAlign w:val="center"/>
          </w:tcPr>
          <w:p w14:paraId="082AD86B" w14:textId="77777777" w:rsidR="002A7FA6" w:rsidRPr="00A82482" w:rsidRDefault="002A7FA6" w:rsidP="003C6168">
            <w:pPr>
              <w:rPr>
                <w:sz w:val="20"/>
                <w:szCs w:val="20"/>
              </w:rPr>
            </w:pPr>
            <w:r>
              <w:rPr>
                <w:sz w:val="20"/>
                <w:szCs w:val="20"/>
              </w:rPr>
              <w:t>0.3</w:t>
            </w:r>
          </w:p>
        </w:tc>
      </w:tr>
      <w:tr w:rsidR="002A7FA6" w:rsidRPr="0081453A" w14:paraId="2F292919" w14:textId="77777777" w:rsidTr="003C6168">
        <w:trPr>
          <w:trHeight w:hRule="exact" w:val="576"/>
        </w:trPr>
        <w:tc>
          <w:tcPr>
            <w:tcW w:w="4158" w:type="dxa"/>
            <w:vMerge/>
            <w:shd w:val="clear" w:color="auto" w:fill="F2DBDB" w:themeFill="accent2" w:themeFillTint="33"/>
            <w:vAlign w:val="center"/>
            <w:hideMark/>
          </w:tcPr>
          <w:p w14:paraId="6E2BCDDE" w14:textId="6E71124C" w:rsidR="002A7FA6" w:rsidRPr="00A82482" w:rsidRDefault="002A7FA6" w:rsidP="003C6168">
            <w:pPr>
              <w:rPr>
                <w:sz w:val="20"/>
                <w:szCs w:val="20"/>
              </w:rPr>
            </w:pPr>
          </w:p>
        </w:tc>
        <w:tc>
          <w:tcPr>
            <w:tcW w:w="3824" w:type="dxa"/>
            <w:shd w:val="clear" w:color="auto" w:fill="F2DBDB" w:themeFill="accent2" w:themeFillTint="33"/>
            <w:vAlign w:val="center"/>
            <w:hideMark/>
          </w:tcPr>
          <w:p w14:paraId="2185BC5B" w14:textId="77777777" w:rsidR="002A7FA6" w:rsidRPr="00A82482" w:rsidRDefault="002A7FA6" w:rsidP="003C6168">
            <w:pPr>
              <w:rPr>
                <w:sz w:val="20"/>
                <w:szCs w:val="20"/>
              </w:rPr>
            </w:pPr>
            <w:r>
              <w:rPr>
                <w:sz w:val="20"/>
                <w:szCs w:val="20"/>
              </w:rPr>
              <w:t xml:space="preserve">Use of </w:t>
            </w:r>
            <w:r w:rsidRPr="00A82482">
              <w:rPr>
                <w:sz w:val="20"/>
                <w:szCs w:val="20"/>
              </w:rPr>
              <w:t>Monitoring Template</w:t>
            </w:r>
          </w:p>
        </w:tc>
        <w:tc>
          <w:tcPr>
            <w:tcW w:w="874" w:type="dxa"/>
            <w:shd w:val="clear" w:color="auto" w:fill="F2DBDB" w:themeFill="accent2" w:themeFillTint="33"/>
            <w:vAlign w:val="center"/>
          </w:tcPr>
          <w:p w14:paraId="2297A888" w14:textId="77777777" w:rsidR="002A7FA6" w:rsidRPr="00A82482" w:rsidRDefault="002A7FA6" w:rsidP="003C6168">
            <w:pPr>
              <w:rPr>
                <w:sz w:val="20"/>
                <w:szCs w:val="20"/>
              </w:rPr>
            </w:pPr>
            <w:r>
              <w:rPr>
                <w:sz w:val="20"/>
                <w:szCs w:val="20"/>
              </w:rPr>
              <w:t>0.2</w:t>
            </w:r>
          </w:p>
        </w:tc>
      </w:tr>
      <w:tr w:rsidR="002A7FA6" w:rsidRPr="0081453A" w14:paraId="212CF25B" w14:textId="77777777" w:rsidTr="003C6168">
        <w:trPr>
          <w:trHeight w:hRule="exact" w:val="576"/>
        </w:trPr>
        <w:tc>
          <w:tcPr>
            <w:tcW w:w="4158" w:type="dxa"/>
            <w:vMerge w:val="restart"/>
            <w:shd w:val="clear" w:color="auto" w:fill="EAF1DD" w:themeFill="accent3" w:themeFillTint="33"/>
            <w:vAlign w:val="center"/>
            <w:hideMark/>
          </w:tcPr>
          <w:p w14:paraId="591A66B1" w14:textId="335493BA" w:rsidR="002A7FA6" w:rsidRPr="00A82482" w:rsidRDefault="002A7FA6" w:rsidP="003C6168">
            <w:pPr>
              <w:rPr>
                <w:sz w:val="20"/>
                <w:szCs w:val="20"/>
              </w:rPr>
            </w:pPr>
            <w:r w:rsidRPr="00A82482">
              <w:rPr>
                <w:sz w:val="20"/>
                <w:szCs w:val="20"/>
              </w:rPr>
              <w:t>Monitoring and Reporting Clarity</w:t>
            </w:r>
          </w:p>
        </w:tc>
        <w:tc>
          <w:tcPr>
            <w:tcW w:w="3824" w:type="dxa"/>
            <w:shd w:val="clear" w:color="auto" w:fill="EAF1DD" w:themeFill="accent3" w:themeFillTint="33"/>
            <w:vAlign w:val="center"/>
            <w:hideMark/>
          </w:tcPr>
          <w:p w14:paraId="64E2807F" w14:textId="77777777" w:rsidR="002A7FA6" w:rsidRPr="00A82482" w:rsidRDefault="002A7FA6" w:rsidP="003C6168">
            <w:pPr>
              <w:rPr>
                <w:sz w:val="20"/>
                <w:szCs w:val="20"/>
              </w:rPr>
            </w:pPr>
            <w:r w:rsidRPr="00A82482">
              <w:rPr>
                <w:sz w:val="20"/>
                <w:szCs w:val="20"/>
              </w:rPr>
              <w:t>Legibility of Results Documentation</w:t>
            </w:r>
          </w:p>
        </w:tc>
        <w:tc>
          <w:tcPr>
            <w:tcW w:w="874" w:type="dxa"/>
            <w:shd w:val="clear" w:color="auto" w:fill="EAF1DD" w:themeFill="accent3" w:themeFillTint="33"/>
            <w:vAlign w:val="center"/>
          </w:tcPr>
          <w:p w14:paraId="60686D10" w14:textId="77777777" w:rsidR="002A7FA6" w:rsidRPr="00A82482" w:rsidRDefault="002A7FA6" w:rsidP="003C6168">
            <w:pPr>
              <w:rPr>
                <w:sz w:val="20"/>
                <w:szCs w:val="20"/>
              </w:rPr>
            </w:pPr>
            <w:r>
              <w:rPr>
                <w:sz w:val="20"/>
                <w:szCs w:val="20"/>
              </w:rPr>
              <w:t>0.3</w:t>
            </w:r>
          </w:p>
        </w:tc>
      </w:tr>
      <w:tr w:rsidR="002A7FA6" w:rsidRPr="0081453A" w14:paraId="32FCEF9B" w14:textId="77777777" w:rsidTr="003C6168">
        <w:trPr>
          <w:trHeight w:hRule="exact" w:val="576"/>
        </w:trPr>
        <w:tc>
          <w:tcPr>
            <w:tcW w:w="4158" w:type="dxa"/>
            <w:vMerge/>
            <w:shd w:val="clear" w:color="auto" w:fill="EAF1DD" w:themeFill="accent3" w:themeFillTint="33"/>
            <w:vAlign w:val="center"/>
            <w:hideMark/>
          </w:tcPr>
          <w:p w14:paraId="545A43FB" w14:textId="1E497405" w:rsidR="002A7FA6" w:rsidRPr="00A82482" w:rsidRDefault="002A7FA6" w:rsidP="003C6168">
            <w:pPr>
              <w:rPr>
                <w:sz w:val="20"/>
                <w:szCs w:val="20"/>
              </w:rPr>
            </w:pPr>
          </w:p>
        </w:tc>
        <w:tc>
          <w:tcPr>
            <w:tcW w:w="3824" w:type="dxa"/>
            <w:shd w:val="clear" w:color="auto" w:fill="EAF1DD" w:themeFill="accent3" w:themeFillTint="33"/>
            <w:vAlign w:val="center"/>
            <w:hideMark/>
          </w:tcPr>
          <w:p w14:paraId="25EED37F" w14:textId="77777777" w:rsidR="002A7FA6" w:rsidRPr="00A82482" w:rsidRDefault="002A7FA6" w:rsidP="003C6168">
            <w:pPr>
              <w:rPr>
                <w:sz w:val="20"/>
                <w:szCs w:val="20"/>
              </w:rPr>
            </w:pPr>
            <w:r w:rsidRPr="00A82482">
              <w:rPr>
                <w:sz w:val="20"/>
                <w:szCs w:val="20"/>
              </w:rPr>
              <w:t>Completeness of Monitoring Reporting</w:t>
            </w:r>
          </w:p>
        </w:tc>
        <w:tc>
          <w:tcPr>
            <w:tcW w:w="874" w:type="dxa"/>
            <w:shd w:val="clear" w:color="auto" w:fill="EAF1DD" w:themeFill="accent3" w:themeFillTint="33"/>
            <w:vAlign w:val="center"/>
          </w:tcPr>
          <w:p w14:paraId="56346469" w14:textId="77777777" w:rsidR="002A7FA6" w:rsidRPr="00A82482" w:rsidRDefault="002A7FA6" w:rsidP="003C6168">
            <w:pPr>
              <w:rPr>
                <w:sz w:val="20"/>
                <w:szCs w:val="20"/>
              </w:rPr>
            </w:pPr>
            <w:r>
              <w:rPr>
                <w:sz w:val="20"/>
                <w:szCs w:val="20"/>
              </w:rPr>
              <w:t>0.2</w:t>
            </w:r>
          </w:p>
        </w:tc>
      </w:tr>
      <w:tr w:rsidR="002A7FA6" w:rsidRPr="0081453A" w14:paraId="5192D21B" w14:textId="77777777" w:rsidTr="003C6168">
        <w:trPr>
          <w:trHeight w:hRule="exact" w:val="576"/>
        </w:trPr>
        <w:tc>
          <w:tcPr>
            <w:tcW w:w="4158" w:type="dxa"/>
            <w:vMerge/>
            <w:shd w:val="clear" w:color="auto" w:fill="EAF1DD" w:themeFill="accent3" w:themeFillTint="33"/>
            <w:vAlign w:val="center"/>
            <w:hideMark/>
          </w:tcPr>
          <w:p w14:paraId="2C80D085" w14:textId="297C648E" w:rsidR="002A7FA6" w:rsidRPr="00A82482" w:rsidRDefault="002A7FA6" w:rsidP="003C6168">
            <w:pPr>
              <w:rPr>
                <w:sz w:val="20"/>
                <w:szCs w:val="20"/>
              </w:rPr>
            </w:pPr>
          </w:p>
        </w:tc>
        <w:tc>
          <w:tcPr>
            <w:tcW w:w="3824" w:type="dxa"/>
            <w:shd w:val="clear" w:color="auto" w:fill="EAF1DD" w:themeFill="accent3" w:themeFillTint="33"/>
            <w:vAlign w:val="center"/>
            <w:hideMark/>
          </w:tcPr>
          <w:p w14:paraId="64CC5588" w14:textId="77777777" w:rsidR="002A7FA6" w:rsidRPr="00A82482" w:rsidRDefault="002A7FA6" w:rsidP="003C6168">
            <w:pPr>
              <w:rPr>
                <w:sz w:val="20"/>
                <w:szCs w:val="20"/>
              </w:rPr>
            </w:pPr>
            <w:r w:rsidRPr="00A82482">
              <w:rPr>
                <w:sz w:val="20"/>
                <w:szCs w:val="20"/>
              </w:rPr>
              <w:t>Internal Consistency with Terminology</w:t>
            </w:r>
          </w:p>
        </w:tc>
        <w:tc>
          <w:tcPr>
            <w:tcW w:w="874" w:type="dxa"/>
            <w:shd w:val="clear" w:color="auto" w:fill="EAF1DD" w:themeFill="accent3" w:themeFillTint="33"/>
            <w:vAlign w:val="center"/>
          </w:tcPr>
          <w:p w14:paraId="0DFA2CBC" w14:textId="77777777" w:rsidR="002A7FA6" w:rsidRPr="00A82482" w:rsidRDefault="002A7FA6" w:rsidP="003C6168">
            <w:pPr>
              <w:rPr>
                <w:sz w:val="20"/>
                <w:szCs w:val="20"/>
              </w:rPr>
            </w:pPr>
            <w:r>
              <w:rPr>
                <w:sz w:val="20"/>
                <w:szCs w:val="20"/>
              </w:rPr>
              <w:t>0.2</w:t>
            </w:r>
          </w:p>
        </w:tc>
      </w:tr>
      <w:tr w:rsidR="002A7FA6" w:rsidRPr="0081453A" w14:paraId="6459DEBE" w14:textId="77777777" w:rsidTr="003C6168">
        <w:trPr>
          <w:trHeight w:hRule="exact" w:val="576"/>
        </w:trPr>
        <w:tc>
          <w:tcPr>
            <w:tcW w:w="4158" w:type="dxa"/>
            <w:vMerge/>
            <w:shd w:val="clear" w:color="auto" w:fill="EAF1DD" w:themeFill="accent3" w:themeFillTint="33"/>
            <w:vAlign w:val="center"/>
            <w:hideMark/>
          </w:tcPr>
          <w:p w14:paraId="08933D4A" w14:textId="58593A17" w:rsidR="002A7FA6" w:rsidRPr="00A82482" w:rsidRDefault="002A7FA6" w:rsidP="003C6168">
            <w:pPr>
              <w:rPr>
                <w:sz w:val="20"/>
                <w:szCs w:val="20"/>
              </w:rPr>
            </w:pPr>
          </w:p>
        </w:tc>
        <w:tc>
          <w:tcPr>
            <w:tcW w:w="3824" w:type="dxa"/>
            <w:shd w:val="clear" w:color="auto" w:fill="EAF1DD" w:themeFill="accent3" w:themeFillTint="33"/>
            <w:vAlign w:val="center"/>
            <w:hideMark/>
          </w:tcPr>
          <w:p w14:paraId="13A2ED71" w14:textId="77777777" w:rsidR="002A7FA6" w:rsidRPr="00A82482" w:rsidRDefault="002A7FA6" w:rsidP="003C6168">
            <w:pPr>
              <w:rPr>
                <w:sz w:val="20"/>
                <w:szCs w:val="20"/>
              </w:rPr>
            </w:pPr>
            <w:r w:rsidRPr="00A82482">
              <w:rPr>
                <w:sz w:val="20"/>
                <w:szCs w:val="20"/>
              </w:rPr>
              <w:t>Precision of Monitoring Reporting</w:t>
            </w:r>
          </w:p>
        </w:tc>
        <w:tc>
          <w:tcPr>
            <w:tcW w:w="874" w:type="dxa"/>
            <w:shd w:val="clear" w:color="auto" w:fill="EAF1DD" w:themeFill="accent3" w:themeFillTint="33"/>
            <w:vAlign w:val="center"/>
          </w:tcPr>
          <w:p w14:paraId="6C7BCC4F" w14:textId="77777777" w:rsidR="002A7FA6" w:rsidRPr="00A82482" w:rsidRDefault="002A7FA6" w:rsidP="003C6168">
            <w:pPr>
              <w:rPr>
                <w:sz w:val="20"/>
                <w:szCs w:val="20"/>
              </w:rPr>
            </w:pPr>
            <w:r>
              <w:rPr>
                <w:sz w:val="20"/>
                <w:szCs w:val="20"/>
              </w:rPr>
              <w:t>0.2</w:t>
            </w:r>
          </w:p>
        </w:tc>
      </w:tr>
      <w:tr w:rsidR="002A7FA6" w:rsidRPr="0081453A" w14:paraId="4674E06F" w14:textId="77777777" w:rsidTr="003C6168">
        <w:trPr>
          <w:trHeight w:hRule="exact" w:val="576"/>
        </w:trPr>
        <w:tc>
          <w:tcPr>
            <w:tcW w:w="4158" w:type="dxa"/>
            <w:vMerge w:val="restart"/>
            <w:shd w:val="clear" w:color="auto" w:fill="E5DFEC" w:themeFill="accent4" w:themeFillTint="33"/>
            <w:vAlign w:val="center"/>
            <w:hideMark/>
          </w:tcPr>
          <w:p w14:paraId="66C31C87" w14:textId="10DC0A1C" w:rsidR="002A7FA6" w:rsidRPr="00A82482" w:rsidRDefault="002A7FA6" w:rsidP="003C6168">
            <w:pPr>
              <w:rPr>
                <w:sz w:val="20"/>
                <w:szCs w:val="20"/>
              </w:rPr>
            </w:pPr>
            <w:r w:rsidRPr="00A82482">
              <w:rPr>
                <w:sz w:val="20"/>
                <w:szCs w:val="20"/>
              </w:rPr>
              <w:t>Monitoring Dataset Transparency</w:t>
            </w:r>
          </w:p>
        </w:tc>
        <w:tc>
          <w:tcPr>
            <w:tcW w:w="3824" w:type="dxa"/>
            <w:shd w:val="clear" w:color="auto" w:fill="E5DFEC" w:themeFill="accent4" w:themeFillTint="33"/>
            <w:vAlign w:val="center"/>
            <w:hideMark/>
          </w:tcPr>
          <w:p w14:paraId="662A4A65" w14:textId="77777777" w:rsidR="002A7FA6" w:rsidRPr="00A82482" w:rsidRDefault="002A7FA6" w:rsidP="003C6168">
            <w:pPr>
              <w:rPr>
                <w:sz w:val="20"/>
                <w:szCs w:val="20"/>
              </w:rPr>
            </w:pPr>
            <w:r w:rsidRPr="00A82482">
              <w:rPr>
                <w:sz w:val="20"/>
                <w:szCs w:val="20"/>
              </w:rPr>
              <w:t>Availability of Monitoring Datasets</w:t>
            </w:r>
          </w:p>
        </w:tc>
        <w:tc>
          <w:tcPr>
            <w:tcW w:w="874" w:type="dxa"/>
            <w:shd w:val="clear" w:color="auto" w:fill="E5DFEC" w:themeFill="accent4" w:themeFillTint="33"/>
            <w:vAlign w:val="center"/>
          </w:tcPr>
          <w:p w14:paraId="7F74FF58" w14:textId="77777777" w:rsidR="002A7FA6" w:rsidRPr="00A82482" w:rsidRDefault="002A7FA6" w:rsidP="003C6168">
            <w:pPr>
              <w:rPr>
                <w:sz w:val="20"/>
                <w:szCs w:val="20"/>
              </w:rPr>
            </w:pPr>
            <w:r>
              <w:rPr>
                <w:sz w:val="20"/>
                <w:szCs w:val="20"/>
              </w:rPr>
              <w:t>0.3</w:t>
            </w:r>
          </w:p>
        </w:tc>
      </w:tr>
      <w:tr w:rsidR="002A7FA6" w:rsidRPr="0081453A" w14:paraId="576051EE" w14:textId="77777777" w:rsidTr="003C6168">
        <w:trPr>
          <w:trHeight w:hRule="exact" w:val="576"/>
        </w:trPr>
        <w:tc>
          <w:tcPr>
            <w:tcW w:w="4158" w:type="dxa"/>
            <w:vMerge/>
            <w:shd w:val="clear" w:color="auto" w:fill="E5DFEC" w:themeFill="accent4" w:themeFillTint="33"/>
            <w:vAlign w:val="center"/>
            <w:hideMark/>
          </w:tcPr>
          <w:p w14:paraId="0CD2D9C5" w14:textId="54021832" w:rsidR="002A7FA6" w:rsidRPr="00A82482" w:rsidRDefault="002A7FA6" w:rsidP="003C6168">
            <w:pPr>
              <w:rPr>
                <w:sz w:val="20"/>
                <w:szCs w:val="20"/>
              </w:rPr>
            </w:pPr>
          </w:p>
        </w:tc>
        <w:tc>
          <w:tcPr>
            <w:tcW w:w="3824" w:type="dxa"/>
            <w:shd w:val="clear" w:color="auto" w:fill="E5DFEC" w:themeFill="accent4" w:themeFillTint="33"/>
            <w:vAlign w:val="center"/>
            <w:hideMark/>
          </w:tcPr>
          <w:p w14:paraId="0FF90D12" w14:textId="77777777" w:rsidR="002A7FA6" w:rsidRPr="00A82482" w:rsidRDefault="002A7FA6" w:rsidP="003C6168">
            <w:pPr>
              <w:rPr>
                <w:sz w:val="20"/>
                <w:szCs w:val="20"/>
              </w:rPr>
            </w:pPr>
            <w:r w:rsidRPr="00A82482">
              <w:rPr>
                <w:sz w:val="20"/>
                <w:szCs w:val="20"/>
              </w:rPr>
              <w:t>Accessibility of Monitoring Datasets</w:t>
            </w:r>
          </w:p>
        </w:tc>
        <w:tc>
          <w:tcPr>
            <w:tcW w:w="874" w:type="dxa"/>
            <w:shd w:val="clear" w:color="auto" w:fill="E5DFEC" w:themeFill="accent4" w:themeFillTint="33"/>
            <w:vAlign w:val="center"/>
          </w:tcPr>
          <w:p w14:paraId="60772F59" w14:textId="77777777" w:rsidR="002A7FA6" w:rsidRPr="00A82482" w:rsidRDefault="002A7FA6" w:rsidP="003C6168">
            <w:pPr>
              <w:rPr>
                <w:sz w:val="20"/>
                <w:szCs w:val="20"/>
              </w:rPr>
            </w:pPr>
            <w:r>
              <w:rPr>
                <w:sz w:val="20"/>
                <w:szCs w:val="20"/>
              </w:rPr>
              <w:t>0.3</w:t>
            </w:r>
          </w:p>
        </w:tc>
      </w:tr>
      <w:tr w:rsidR="002A7FA6" w:rsidRPr="0081453A" w14:paraId="6637954F" w14:textId="77777777" w:rsidTr="003C6168">
        <w:trPr>
          <w:trHeight w:hRule="exact" w:val="576"/>
        </w:trPr>
        <w:tc>
          <w:tcPr>
            <w:tcW w:w="4158" w:type="dxa"/>
            <w:vMerge/>
            <w:shd w:val="clear" w:color="auto" w:fill="E5DFEC" w:themeFill="accent4" w:themeFillTint="33"/>
            <w:vAlign w:val="center"/>
            <w:hideMark/>
          </w:tcPr>
          <w:p w14:paraId="2534072E" w14:textId="2DA1FA28" w:rsidR="002A7FA6" w:rsidRPr="00A82482" w:rsidRDefault="002A7FA6" w:rsidP="003C6168">
            <w:pPr>
              <w:rPr>
                <w:sz w:val="20"/>
                <w:szCs w:val="20"/>
              </w:rPr>
            </w:pPr>
          </w:p>
        </w:tc>
        <w:tc>
          <w:tcPr>
            <w:tcW w:w="3824" w:type="dxa"/>
            <w:shd w:val="clear" w:color="auto" w:fill="E5DFEC" w:themeFill="accent4" w:themeFillTint="33"/>
            <w:vAlign w:val="center"/>
            <w:hideMark/>
          </w:tcPr>
          <w:p w14:paraId="580442E1" w14:textId="77777777" w:rsidR="002A7FA6" w:rsidRPr="00A82482" w:rsidRDefault="002A7FA6" w:rsidP="003C6168">
            <w:pPr>
              <w:rPr>
                <w:sz w:val="20"/>
                <w:szCs w:val="20"/>
              </w:rPr>
            </w:pPr>
            <w:r w:rsidRPr="00A82482">
              <w:rPr>
                <w:sz w:val="20"/>
                <w:szCs w:val="20"/>
              </w:rPr>
              <w:t>Availability of Monitoring Spatial Data</w:t>
            </w:r>
          </w:p>
        </w:tc>
        <w:tc>
          <w:tcPr>
            <w:tcW w:w="874" w:type="dxa"/>
            <w:shd w:val="clear" w:color="auto" w:fill="E5DFEC" w:themeFill="accent4" w:themeFillTint="33"/>
            <w:vAlign w:val="center"/>
          </w:tcPr>
          <w:p w14:paraId="3686A368" w14:textId="77777777" w:rsidR="002A7FA6" w:rsidRPr="00A82482" w:rsidRDefault="002A7FA6" w:rsidP="003C6168">
            <w:pPr>
              <w:rPr>
                <w:sz w:val="20"/>
                <w:szCs w:val="20"/>
              </w:rPr>
            </w:pPr>
            <w:r>
              <w:rPr>
                <w:sz w:val="20"/>
                <w:szCs w:val="20"/>
              </w:rPr>
              <w:t>0.2</w:t>
            </w:r>
          </w:p>
        </w:tc>
      </w:tr>
      <w:tr w:rsidR="002A7FA6" w:rsidRPr="0081453A" w14:paraId="0810B903" w14:textId="77777777" w:rsidTr="003C6168">
        <w:trPr>
          <w:trHeight w:hRule="exact" w:val="576"/>
        </w:trPr>
        <w:tc>
          <w:tcPr>
            <w:tcW w:w="4158" w:type="dxa"/>
            <w:vMerge/>
            <w:shd w:val="clear" w:color="auto" w:fill="E5DFEC" w:themeFill="accent4" w:themeFillTint="33"/>
            <w:vAlign w:val="center"/>
            <w:hideMark/>
          </w:tcPr>
          <w:p w14:paraId="7D67F14E" w14:textId="18872A7E" w:rsidR="002A7FA6" w:rsidRPr="00A82482" w:rsidRDefault="002A7FA6" w:rsidP="003C6168">
            <w:pPr>
              <w:rPr>
                <w:sz w:val="20"/>
                <w:szCs w:val="20"/>
              </w:rPr>
            </w:pPr>
          </w:p>
        </w:tc>
        <w:tc>
          <w:tcPr>
            <w:tcW w:w="3824" w:type="dxa"/>
            <w:shd w:val="clear" w:color="auto" w:fill="E5DFEC" w:themeFill="accent4" w:themeFillTint="33"/>
            <w:vAlign w:val="center"/>
            <w:hideMark/>
          </w:tcPr>
          <w:p w14:paraId="17A135F9" w14:textId="77777777" w:rsidR="002A7FA6" w:rsidRPr="00A82482" w:rsidRDefault="002A7FA6" w:rsidP="003C6168">
            <w:pPr>
              <w:rPr>
                <w:sz w:val="20"/>
                <w:szCs w:val="20"/>
              </w:rPr>
            </w:pPr>
            <w:r w:rsidRPr="00A82482">
              <w:rPr>
                <w:sz w:val="20"/>
                <w:szCs w:val="20"/>
              </w:rPr>
              <w:t>Accessibility of Monitoring Spatial Data</w:t>
            </w:r>
          </w:p>
        </w:tc>
        <w:tc>
          <w:tcPr>
            <w:tcW w:w="874" w:type="dxa"/>
            <w:shd w:val="clear" w:color="auto" w:fill="E5DFEC" w:themeFill="accent4" w:themeFillTint="33"/>
            <w:vAlign w:val="center"/>
          </w:tcPr>
          <w:p w14:paraId="1EA05605" w14:textId="77777777" w:rsidR="002A7FA6" w:rsidRPr="00A82482" w:rsidRDefault="002A7FA6" w:rsidP="003C6168">
            <w:pPr>
              <w:rPr>
                <w:sz w:val="20"/>
                <w:szCs w:val="20"/>
              </w:rPr>
            </w:pPr>
            <w:r>
              <w:rPr>
                <w:sz w:val="20"/>
                <w:szCs w:val="20"/>
              </w:rPr>
              <w:t>0.2</w:t>
            </w:r>
          </w:p>
        </w:tc>
      </w:tr>
      <w:tr w:rsidR="002A7FA6" w:rsidRPr="0081453A" w14:paraId="6EE0E0EF" w14:textId="77777777" w:rsidTr="003C6168">
        <w:trPr>
          <w:trHeight w:hRule="exact" w:val="576"/>
        </w:trPr>
        <w:tc>
          <w:tcPr>
            <w:tcW w:w="4158" w:type="dxa"/>
            <w:vMerge w:val="restart"/>
            <w:shd w:val="clear" w:color="auto" w:fill="FDE9D9" w:themeFill="accent6" w:themeFillTint="33"/>
            <w:vAlign w:val="center"/>
            <w:hideMark/>
          </w:tcPr>
          <w:p w14:paraId="04966E9A" w14:textId="3ABB4C0B" w:rsidR="002A7FA6" w:rsidRPr="00A82482" w:rsidRDefault="002A7FA6" w:rsidP="003C6168">
            <w:pPr>
              <w:rPr>
                <w:sz w:val="20"/>
                <w:szCs w:val="20"/>
              </w:rPr>
            </w:pPr>
            <w:r w:rsidRPr="00A82482">
              <w:rPr>
                <w:sz w:val="20"/>
                <w:szCs w:val="20"/>
              </w:rPr>
              <w:t>Monitoring and Reporting System</w:t>
            </w:r>
          </w:p>
        </w:tc>
        <w:tc>
          <w:tcPr>
            <w:tcW w:w="3824" w:type="dxa"/>
            <w:shd w:val="clear" w:color="auto" w:fill="FDE9D9" w:themeFill="accent6" w:themeFillTint="33"/>
            <w:vAlign w:val="center"/>
            <w:hideMark/>
          </w:tcPr>
          <w:p w14:paraId="1A1DBA80" w14:textId="77777777" w:rsidR="002A7FA6" w:rsidRPr="00A82482" w:rsidRDefault="002A7FA6" w:rsidP="003C6168">
            <w:pPr>
              <w:rPr>
                <w:sz w:val="20"/>
                <w:szCs w:val="20"/>
              </w:rPr>
            </w:pPr>
            <w:r w:rsidRPr="00A82482">
              <w:rPr>
                <w:sz w:val="20"/>
                <w:szCs w:val="20"/>
              </w:rPr>
              <w:t>Standardized Terminology</w:t>
            </w:r>
          </w:p>
        </w:tc>
        <w:tc>
          <w:tcPr>
            <w:tcW w:w="874" w:type="dxa"/>
            <w:shd w:val="clear" w:color="auto" w:fill="FDE9D9" w:themeFill="accent6" w:themeFillTint="33"/>
            <w:vAlign w:val="center"/>
          </w:tcPr>
          <w:p w14:paraId="01888EF4" w14:textId="77777777" w:rsidR="002A7FA6" w:rsidRPr="00A82482" w:rsidRDefault="002A7FA6" w:rsidP="003C6168">
            <w:pPr>
              <w:rPr>
                <w:sz w:val="20"/>
                <w:szCs w:val="20"/>
              </w:rPr>
            </w:pPr>
            <w:r>
              <w:rPr>
                <w:sz w:val="20"/>
                <w:szCs w:val="20"/>
              </w:rPr>
              <w:t>0.4</w:t>
            </w:r>
          </w:p>
        </w:tc>
      </w:tr>
      <w:tr w:rsidR="002A7FA6" w:rsidRPr="0081453A" w14:paraId="60371EF8" w14:textId="77777777" w:rsidTr="003C6168">
        <w:trPr>
          <w:trHeight w:hRule="exact" w:val="576"/>
        </w:trPr>
        <w:tc>
          <w:tcPr>
            <w:tcW w:w="4158" w:type="dxa"/>
            <w:vMerge/>
            <w:shd w:val="clear" w:color="auto" w:fill="FDE9D9" w:themeFill="accent6" w:themeFillTint="33"/>
            <w:vAlign w:val="center"/>
            <w:hideMark/>
          </w:tcPr>
          <w:p w14:paraId="442216CE" w14:textId="766F4EA6" w:rsidR="002A7FA6" w:rsidRPr="00A82482" w:rsidRDefault="002A7FA6" w:rsidP="003C6168">
            <w:pPr>
              <w:rPr>
                <w:sz w:val="20"/>
                <w:szCs w:val="20"/>
              </w:rPr>
            </w:pPr>
          </w:p>
        </w:tc>
        <w:tc>
          <w:tcPr>
            <w:tcW w:w="3824" w:type="dxa"/>
            <w:shd w:val="clear" w:color="auto" w:fill="FDE9D9" w:themeFill="accent6" w:themeFillTint="33"/>
            <w:vAlign w:val="center"/>
            <w:hideMark/>
          </w:tcPr>
          <w:p w14:paraId="6AD1A417" w14:textId="77777777" w:rsidR="002A7FA6" w:rsidRPr="00A82482" w:rsidRDefault="002A7FA6" w:rsidP="003C6168">
            <w:pPr>
              <w:rPr>
                <w:sz w:val="20"/>
                <w:szCs w:val="20"/>
              </w:rPr>
            </w:pPr>
            <w:r w:rsidRPr="00A82482">
              <w:rPr>
                <w:sz w:val="20"/>
                <w:szCs w:val="20"/>
              </w:rPr>
              <w:t xml:space="preserve">Monitoring and Reporting Policy </w:t>
            </w:r>
          </w:p>
        </w:tc>
        <w:tc>
          <w:tcPr>
            <w:tcW w:w="874" w:type="dxa"/>
            <w:shd w:val="clear" w:color="auto" w:fill="FDE9D9" w:themeFill="accent6" w:themeFillTint="33"/>
            <w:vAlign w:val="center"/>
          </w:tcPr>
          <w:p w14:paraId="0790FC99" w14:textId="77777777" w:rsidR="002A7FA6" w:rsidRPr="00A82482" w:rsidRDefault="002A7FA6" w:rsidP="003C6168">
            <w:pPr>
              <w:rPr>
                <w:sz w:val="20"/>
                <w:szCs w:val="20"/>
              </w:rPr>
            </w:pPr>
            <w:r>
              <w:rPr>
                <w:sz w:val="20"/>
                <w:szCs w:val="20"/>
              </w:rPr>
              <w:t>0.3</w:t>
            </w:r>
          </w:p>
        </w:tc>
      </w:tr>
      <w:tr w:rsidR="002A7FA6" w:rsidRPr="0081453A" w14:paraId="13C2F793" w14:textId="77777777" w:rsidTr="003C6168">
        <w:trPr>
          <w:trHeight w:hRule="exact" w:val="576"/>
        </w:trPr>
        <w:tc>
          <w:tcPr>
            <w:tcW w:w="4158" w:type="dxa"/>
            <w:vMerge/>
            <w:shd w:val="clear" w:color="auto" w:fill="FDE9D9" w:themeFill="accent6" w:themeFillTint="33"/>
            <w:vAlign w:val="center"/>
            <w:hideMark/>
          </w:tcPr>
          <w:p w14:paraId="3DAC026F" w14:textId="2EFF39DA" w:rsidR="002A7FA6" w:rsidRPr="00A82482" w:rsidRDefault="002A7FA6" w:rsidP="003C6168">
            <w:pPr>
              <w:rPr>
                <w:sz w:val="20"/>
                <w:szCs w:val="20"/>
              </w:rPr>
            </w:pPr>
          </w:p>
        </w:tc>
        <w:tc>
          <w:tcPr>
            <w:tcW w:w="3824" w:type="dxa"/>
            <w:shd w:val="clear" w:color="auto" w:fill="FDE9D9" w:themeFill="accent6" w:themeFillTint="33"/>
            <w:vAlign w:val="center"/>
            <w:hideMark/>
          </w:tcPr>
          <w:p w14:paraId="0AE63D36" w14:textId="77777777" w:rsidR="002A7FA6" w:rsidRPr="00A82482" w:rsidRDefault="002A7FA6" w:rsidP="003C6168">
            <w:pPr>
              <w:rPr>
                <w:sz w:val="20"/>
                <w:szCs w:val="20"/>
              </w:rPr>
            </w:pPr>
            <w:r>
              <w:rPr>
                <w:sz w:val="20"/>
                <w:szCs w:val="20"/>
              </w:rPr>
              <w:t>Open</w:t>
            </w:r>
            <w:r w:rsidRPr="00A82482">
              <w:rPr>
                <w:sz w:val="20"/>
                <w:szCs w:val="20"/>
              </w:rPr>
              <w:t xml:space="preserve"> Access to Monitoring </w:t>
            </w:r>
            <w:r>
              <w:rPr>
                <w:sz w:val="20"/>
                <w:szCs w:val="20"/>
              </w:rPr>
              <w:t xml:space="preserve">Data </w:t>
            </w:r>
            <w:r w:rsidRPr="00A82482">
              <w:rPr>
                <w:sz w:val="20"/>
                <w:szCs w:val="20"/>
              </w:rPr>
              <w:t>Policy</w:t>
            </w:r>
          </w:p>
        </w:tc>
        <w:tc>
          <w:tcPr>
            <w:tcW w:w="874" w:type="dxa"/>
            <w:shd w:val="clear" w:color="auto" w:fill="FDE9D9" w:themeFill="accent6" w:themeFillTint="33"/>
            <w:vAlign w:val="center"/>
          </w:tcPr>
          <w:p w14:paraId="3DC6EEC6" w14:textId="77777777" w:rsidR="002A7FA6" w:rsidRPr="00A82482" w:rsidRDefault="002A7FA6" w:rsidP="003C6168">
            <w:pPr>
              <w:rPr>
                <w:sz w:val="20"/>
                <w:szCs w:val="20"/>
              </w:rPr>
            </w:pPr>
            <w:r>
              <w:rPr>
                <w:sz w:val="20"/>
                <w:szCs w:val="20"/>
              </w:rPr>
              <w:t>0.3</w:t>
            </w:r>
          </w:p>
        </w:tc>
      </w:tr>
    </w:tbl>
    <w:p w14:paraId="5D008886" w14:textId="77777777" w:rsidR="00CF19A9" w:rsidRDefault="00CF19A9"/>
    <w:p w14:paraId="362AC20C" w14:textId="77777777" w:rsidR="002F15D3" w:rsidRDefault="002F15D3"/>
    <w:p w14:paraId="105B0439" w14:textId="77777777" w:rsidR="007D6C1F" w:rsidRDefault="007D6C1F" w:rsidP="007D6C1F">
      <w:pPr>
        <w:rPr>
          <w:b/>
        </w:rPr>
      </w:pPr>
      <w:r>
        <w:rPr>
          <w:b/>
        </w:rPr>
        <w:t>The (Final) Product of Our Environment</w:t>
      </w:r>
    </w:p>
    <w:p w14:paraId="0EBDB183" w14:textId="77777777" w:rsidR="007D6C1F" w:rsidRDefault="007D6C1F" w:rsidP="007D6C1F">
      <w:pPr>
        <w:rPr>
          <w:b/>
        </w:rPr>
      </w:pPr>
    </w:p>
    <w:p w14:paraId="1E4FA7EA" w14:textId="30514B92" w:rsidR="007D6C1F" w:rsidRPr="00BF7B3D" w:rsidRDefault="007D6C1F" w:rsidP="007D6C1F">
      <w:pPr>
        <w:rPr>
          <w:u w:val="single"/>
        </w:rPr>
      </w:pPr>
      <w:r>
        <w:t xml:space="preserve">With all indicators scored for all DPs, weighted category </w:t>
      </w:r>
      <w:proofErr w:type="spellStart"/>
      <w:r>
        <w:t>subscores</w:t>
      </w:r>
      <w:proofErr w:type="spellEnd"/>
      <w:r>
        <w:t xml:space="preserve"> calculated, and a final average of </w:t>
      </w:r>
      <w:proofErr w:type="spellStart"/>
      <w:r>
        <w:t>subscores</w:t>
      </w:r>
      <w:proofErr w:type="spellEnd"/>
      <w:r>
        <w:t xml:space="preserve"> run to generate a final DP score, our scorecard work was finally complete.  </w:t>
      </w:r>
      <w:r w:rsidR="002A7FA6">
        <w:t xml:space="preserve">In the spirit of transparency, we will release the entire scorecard dataset soon.  In the meantime, </w:t>
      </w:r>
      <w:r>
        <w:t>we would like to provide a visual overview of the scoring process.  Below is a snippet from the final cross-DP scorecard set, with scores from the “Monitoring Data Accessibility” category.</w:t>
      </w:r>
      <w:r>
        <w:br/>
      </w:r>
      <w:r>
        <w:br/>
      </w:r>
      <w:r>
        <w:rPr>
          <w:u w:val="single"/>
        </w:rPr>
        <w:t xml:space="preserve">Figure 1: Picture perfect- </w:t>
      </w:r>
      <w:proofErr w:type="gramStart"/>
      <w:r>
        <w:rPr>
          <w:u w:val="single"/>
        </w:rPr>
        <w:t>A</w:t>
      </w:r>
      <w:proofErr w:type="gramEnd"/>
      <w:r>
        <w:rPr>
          <w:u w:val="single"/>
        </w:rPr>
        <w:t xml:space="preserve"> completed scorecard subsection</w:t>
      </w:r>
    </w:p>
    <w:p w14:paraId="70E96DC2" w14:textId="77777777" w:rsidR="007D6C1F" w:rsidRPr="00BF7B3D" w:rsidRDefault="007D6C1F" w:rsidP="007D6C1F"/>
    <w:p w14:paraId="46249CB1" w14:textId="77777777" w:rsidR="007D6C1F" w:rsidRDefault="007D6C1F" w:rsidP="007D6C1F">
      <w:pPr>
        <w:rPr>
          <w:u w:val="single"/>
        </w:rPr>
      </w:pPr>
      <w:r>
        <w:rPr>
          <w:noProof/>
          <w:u w:val="single"/>
        </w:rPr>
        <w:drawing>
          <wp:inline distT="0" distB="0" distL="0" distR="0" wp14:anchorId="5130F43A" wp14:editId="5E164756">
            <wp:extent cx="5486400" cy="213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7 at 3.39.22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8045"/>
                    </a:xfrm>
                    <a:prstGeom prst="rect">
                      <a:avLst/>
                    </a:prstGeom>
                  </pic:spPr>
                </pic:pic>
              </a:graphicData>
            </a:graphic>
          </wp:inline>
        </w:drawing>
      </w:r>
    </w:p>
    <w:p w14:paraId="059C1DD4" w14:textId="77777777" w:rsidR="007D6C1F" w:rsidRDefault="007D6C1F" w:rsidP="007D6C1F">
      <w:pPr>
        <w:rPr>
          <w:u w:val="single"/>
        </w:rPr>
      </w:pPr>
    </w:p>
    <w:p w14:paraId="2D07692F" w14:textId="77777777" w:rsidR="007D6C1F" w:rsidRDefault="007D6C1F"/>
    <w:p w14:paraId="4C3AC7F0" w14:textId="77777777" w:rsidR="00C65407" w:rsidRDefault="00C65407"/>
    <w:p w14:paraId="06152CD0" w14:textId="77777777" w:rsidR="00C65407" w:rsidRDefault="00C65407"/>
    <w:p w14:paraId="7564ED3E" w14:textId="3BEE60E1" w:rsidR="00C65407" w:rsidRDefault="00C65407">
      <w:r>
        <w:rPr>
          <w:b/>
        </w:rPr>
        <w:t>(Data) Framing the Conversation with DPs</w:t>
      </w:r>
    </w:p>
    <w:p w14:paraId="43076D3B" w14:textId="77777777" w:rsidR="00C65407" w:rsidRDefault="00C65407"/>
    <w:p w14:paraId="0EF653F1" w14:textId="38DDD450" w:rsidR="00C65407" w:rsidRDefault="0073502C">
      <w:r>
        <w:t>With the scoring behind us, o</w:t>
      </w:r>
      <w:r w:rsidR="00C65407">
        <w:t xml:space="preserve">ur priority now is to consult with DPs to discuss the results of the Scorecard exercise and hear directly about </w:t>
      </w:r>
      <w:r>
        <w:t xml:space="preserve">the </w:t>
      </w:r>
      <w:r w:rsidR="00C65407">
        <w:t>ch</w:t>
      </w:r>
      <w:r>
        <w:t>allenges to data access and use they have encountered.</w:t>
      </w:r>
      <w:r w:rsidR="00C65407">
        <w:t xml:space="preserve">  The aim is to find ways to make project data available, open, and actionable.  After all, if the data are not </w:t>
      </w:r>
      <w:hyperlink r:id="rId11" w:history="1">
        <w:r w:rsidR="00C65407" w:rsidRPr="00C65407">
          <w:rPr>
            <w:rStyle w:val="Hyperlink"/>
          </w:rPr>
          <w:t>useful</w:t>
        </w:r>
      </w:hyperlink>
      <w:r w:rsidR="00C65407">
        <w:t xml:space="preserve">, </w:t>
      </w:r>
      <w:hyperlink r:id="rId12" w:history="1">
        <w:r w:rsidR="00C65407" w:rsidRPr="00C65407">
          <w:rPr>
            <w:rStyle w:val="Hyperlink"/>
          </w:rPr>
          <w:t>why collect them in the first place?</w:t>
        </w:r>
      </w:hyperlink>
    </w:p>
    <w:p w14:paraId="7B596817" w14:textId="77777777" w:rsidR="00C65407" w:rsidRDefault="00C65407"/>
    <w:p w14:paraId="2FFB304C" w14:textId="3126CFD0" w:rsidR="00C65407" w:rsidRPr="00C65407" w:rsidRDefault="00BE0824">
      <w:r>
        <w:t>Framing o</w:t>
      </w:r>
      <w:r w:rsidR="00C65407">
        <w:t>ur conversations with DPs around the practical implications of improving their results trackin</w:t>
      </w:r>
      <w:r>
        <w:t xml:space="preserve">g and reporting systems will highlight the pragmatic importance of the RDI project as a whole.  We have seen in initial consultations that the “sexiest” hook of the Scorecard is the ability to “rank” DPs based on their composite score.  As evidenced by this entirely too detailed post, we also spent a lot of time thinking about these numbers.  We want to be clear that our interest in quantifying performance </w:t>
      </w:r>
      <w:r w:rsidR="0073502C">
        <w:t xml:space="preserve">indicators </w:t>
      </w:r>
      <w:r>
        <w:t xml:space="preserve">does not come from a desire to compare DP performance or play a game of “Gotcha!”  Rather, we developed this detailed numerical methodology to ensure we exercised internal consistency in exploring the many valid responses across DPs to the same </w:t>
      </w:r>
      <w:r>
        <w:t xml:space="preserve">set of </w:t>
      </w:r>
      <w:hyperlink r:id="rId13" w:history="1">
        <w:r w:rsidRPr="00BE0824">
          <w:rPr>
            <w:rStyle w:val="Hyperlink"/>
          </w:rPr>
          <w:t>common challenges to results data reporting</w:t>
        </w:r>
      </w:hyperlink>
      <w:r w:rsidR="00543DB2">
        <w:t xml:space="preserve">.  In line with this, we have no interest in a cross-DP analysis other than to highlight extremely promising practices (See Part 3 of the series).  A wise man (or, you know, at least a man) once said, “The points don’t matter.”  We couldn’t agree more.  </w:t>
      </w:r>
      <w:r w:rsidR="00216EC8">
        <w:t>We aren’t looking to debate</w:t>
      </w:r>
      <w:r w:rsidR="00543DB2">
        <w:t xml:space="preserve"> the diff</w:t>
      </w:r>
      <w:r w:rsidR="00216EC8">
        <w:t xml:space="preserve">erence between a 1.4 and a 1.5; </w:t>
      </w:r>
      <w:r w:rsidR="00543DB2">
        <w:t xml:space="preserve">we are far more interested in exploring how each DP can leverage its existing tools and resources to </w:t>
      </w:r>
      <w:r w:rsidR="00216EC8">
        <w:t xml:space="preserve">tackle challenges to results reporting </w:t>
      </w:r>
      <w:r w:rsidR="0073502C">
        <w:t>to meet their</w:t>
      </w:r>
      <w:r w:rsidR="00216EC8">
        <w:t xml:space="preserve"> internally-defined goals.</w:t>
      </w:r>
      <w:bookmarkStart w:id="0" w:name="_GoBack"/>
      <w:bookmarkEnd w:id="0"/>
    </w:p>
    <w:sectPr w:rsidR="00C65407" w:rsidRPr="00C65407" w:rsidSect="00D55E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F7CE3"/>
    <w:multiLevelType w:val="hybridMultilevel"/>
    <w:tmpl w:val="B7D4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181"/>
    <w:rsid w:val="00033E55"/>
    <w:rsid w:val="0011481C"/>
    <w:rsid w:val="00136B3F"/>
    <w:rsid w:val="00171D59"/>
    <w:rsid w:val="00216EC8"/>
    <w:rsid w:val="002A7FA6"/>
    <w:rsid w:val="002F15D3"/>
    <w:rsid w:val="003C6168"/>
    <w:rsid w:val="004C0181"/>
    <w:rsid w:val="00543DB2"/>
    <w:rsid w:val="005B727F"/>
    <w:rsid w:val="006B69EA"/>
    <w:rsid w:val="0073502C"/>
    <w:rsid w:val="007D6C1F"/>
    <w:rsid w:val="008F4684"/>
    <w:rsid w:val="00A01066"/>
    <w:rsid w:val="00A22831"/>
    <w:rsid w:val="00A36A50"/>
    <w:rsid w:val="00B303AE"/>
    <w:rsid w:val="00BE0824"/>
    <w:rsid w:val="00C65407"/>
    <w:rsid w:val="00C67767"/>
    <w:rsid w:val="00CF19A9"/>
    <w:rsid w:val="00D55E08"/>
    <w:rsid w:val="00F04A2B"/>
    <w:rsid w:val="00F06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70A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3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6168"/>
    <w:rPr>
      <w:color w:val="0000FF" w:themeColor="hyperlink"/>
      <w:u w:val="single"/>
    </w:rPr>
  </w:style>
  <w:style w:type="paragraph" w:styleId="ListParagraph">
    <w:name w:val="List Paragraph"/>
    <w:basedOn w:val="Normal"/>
    <w:uiPriority w:val="34"/>
    <w:qFormat/>
    <w:rsid w:val="003C6168"/>
    <w:pPr>
      <w:ind w:left="720"/>
      <w:contextualSpacing/>
    </w:pPr>
  </w:style>
  <w:style w:type="paragraph" w:styleId="BalloonText">
    <w:name w:val="Balloon Text"/>
    <w:basedOn w:val="Normal"/>
    <w:link w:val="BalloonTextChar"/>
    <w:uiPriority w:val="99"/>
    <w:semiHidden/>
    <w:unhideWhenUsed/>
    <w:rsid w:val="007D6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C1F"/>
    <w:rPr>
      <w:rFonts w:ascii="Lucida Grande" w:hAnsi="Lucida Grande" w:cs="Lucida Grande"/>
      <w:sz w:val="18"/>
      <w:szCs w:val="18"/>
    </w:rPr>
  </w:style>
  <w:style w:type="character" w:styleId="FollowedHyperlink">
    <w:name w:val="FollowedHyperlink"/>
    <w:basedOn w:val="DefaultParagraphFont"/>
    <w:uiPriority w:val="99"/>
    <w:semiHidden/>
    <w:unhideWhenUsed/>
    <w:rsid w:val="00BE08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3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6168"/>
    <w:rPr>
      <w:color w:val="0000FF" w:themeColor="hyperlink"/>
      <w:u w:val="single"/>
    </w:rPr>
  </w:style>
  <w:style w:type="paragraph" w:styleId="ListParagraph">
    <w:name w:val="List Paragraph"/>
    <w:basedOn w:val="Normal"/>
    <w:uiPriority w:val="34"/>
    <w:qFormat/>
    <w:rsid w:val="003C6168"/>
    <w:pPr>
      <w:ind w:left="720"/>
      <w:contextualSpacing/>
    </w:pPr>
  </w:style>
  <w:style w:type="paragraph" w:styleId="BalloonText">
    <w:name w:val="Balloon Text"/>
    <w:basedOn w:val="Normal"/>
    <w:link w:val="BalloonTextChar"/>
    <w:uiPriority w:val="99"/>
    <w:semiHidden/>
    <w:unhideWhenUsed/>
    <w:rsid w:val="007D6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C1F"/>
    <w:rPr>
      <w:rFonts w:ascii="Lucida Grande" w:hAnsi="Lucida Grande" w:cs="Lucida Grande"/>
      <w:sz w:val="18"/>
      <w:szCs w:val="18"/>
    </w:rPr>
  </w:style>
  <w:style w:type="character" w:styleId="FollowedHyperlink">
    <w:name w:val="FollowedHyperlink"/>
    <w:basedOn w:val="DefaultParagraphFont"/>
    <w:uiPriority w:val="99"/>
    <w:semiHidden/>
    <w:unhideWhenUsed/>
    <w:rsid w:val="00BE08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evelopmentgateway.org/2016/04/04/who-benefits-development-data/" TargetMode="External"/><Relationship Id="rId12" Type="http://schemas.openxmlformats.org/officeDocument/2006/relationships/hyperlink" Target="http://www.developmentgateway.org/2014/12/02/the-demand-side-of-the-data-revolution-lessons-from-the-government-of-nepal/" TargetMode="External"/><Relationship Id="rId13" Type="http://schemas.openxmlformats.org/officeDocument/2006/relationships/hyperlink" Target="http://www.developmentgateway.org/2016/03/03/results-indicators-costs-benefit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evelopmentgateway.org/blog/" TargetMode="External"/><Relationship Id="rId7" Type="http://schemas.openxmlformats.org/officeDocument/2006/relationships/hyperlink" Target="http://www.undatarevolution.org/data-revolution/" TargetMode="External"/><Relationship Id="rId8" Type="http://schemas.openxmlformats.org/officeDocument/2006/relationships/hyperlink" Target="http://www.developmentgateway.org/2015/09/18/designing-human-centered-data-revolution/" TargetMode="External"/><Relationship Id="rId9" Type="http://schemas.openxmlformats.org/officeDocument/2006/relationships/hyperlink" Target="https://www.data.gov/developers/blog/primer-machine-readability-online-documents-and-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1661</Words>
  <Characters>9473</Characters>
  <Application>Microsoft Macintosh Word</Application>
  <DocSecurity>0</DocSecurity>
  <Lines>78</Lines>
  <Paragraphs>22</Paragraphs>
  <ScaleCrop>false</ScaleCrop>
  <Company/>
  <LinksUpToDate>false</LinksUpToDate>
  <CharactersWithSpaces>11112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Wikrent</dc:creator>
  <cp:keywords/>
  <dc:description/>
  <cp:lastModifiedBy>Katherine Wikrent</cp:lastModifiedBy>
  <cp:revision>6</cp:revision>
  <dcterms:created xsi:type="dcterms:W3CDTF">2016-06-10T19:32:00Z</dcterms:created>
  <dcterms:modified xsi:type="dcterms:W3CDTF">2016-07-21T20:59:00Z</dcterms:modified>
</cp:coreProperties>
</file>