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6005AF">
      <w:pPr>
        <w:pStyle w:val="36"/>
      </w:pPr>
      <w:r>
        <w:t>Optimized Deep Residual Network for Single Image Super-Resolution in Remote Sensing</w:t>
      </w:r>
    </w:p>
    <w:p w14:paraId="444CFDBD">
      <w:pPr>
        <w:pStyle w:val="2"/>
      </w:pPr>
      <w:r>
        <w:t>Abstract</w:t>
      </w:r>
    </w:p>
    <w:p w14:paraId="49348431">
      <w:r>
        <w:t>Super-resolution (SR) reconstruction is a process aimed at enhancing the spatial resolution of images, either from a single observation or from multiple images of the same scene. SR is particularly important when it is not feasible to acquire high-resolution imagery directly, a common limitation in remote sensing applications. Recent advances have leveraged deep convolutional neural networks (CNNs), with residual learning showing notable performance gains. In this study, we propose an optimized deep residual network architecture for single image super-resolution. Our method reduces redundancy in conventional residual blocks and strategically expands model depth and width while stabilizing training. We evaluate our method on standard SR benchmarks and a representative remote sensing dataset, showing improved PSNR and SSIM performance over existing models. The proposed network demonstrates both quantitative improvements and enhanced visual quality, confirming its applicability in high-fidelity remote sensing analysis.</w:t>
      </w:r>
    </w:p>
    <w:p w14:paraId="5D2D0582">
      <w:pPr>
        <w:pStyle w:val="2"/>
      </w:pPr>
      <w:r>
        <w:t>Keywords</w:t>
      </w:r>
    </w:p>
    <w:p w14:paraId="129DCDAA">
      <w:r>
        <w:t>Super-resolution, convolutional neural networks, deep learning, residual learning, remote sensing</w:t>
      </w:r>
    </w:p>
    <w:p w14:paraId="1E76049D">
      <w:pPr>
        <w:pStyle w:val="2"/>
      </w:pPr>
      <w:r>
        <w:t>1. Introduction</w:t>
      </w:r>
    </w:p>
    <w:p w14:paraId="62EC78EF">
      <w:r>
        <w:t>Single Image Super-Resolution (SISR) refers to the process of reconstructing a high-resolution (HR) image from a single low-resolution (LR) input image. This task is fundamentally ill-posed [1], as multiple HR solutions may correspond to a given LR observation. The goal is to reconstruct high-frequency information—such as textures, edges, and fine structures—that has been lost due to degradation caused by blurring, downsampling, or compression. Super-resolution is especially significant in domains like medical imaging, surveillance, and remote sensing [2], where acquiring HR images directly is either cost-prohibitive or technically unfeasible.</w:t>
      </w:r>
      <w:r>
        <w:br w:type="textWrapping"/>
      </w:r>
      <w:r>
        <w:br w:type="textWrapping"/>
      </w:r>
      <w:r>
        <w:t>In remote sensing [2], spatial resolution directly influences the interpretability of satellite imagery [3]. However, limitations in onboard sensor capabilities, orbital height, atmospheric conditions, and economic constraints make it difficult to capture high-resolution data continuously over large geographical areas. This has led to an increased interest in image enhancement algorithms that can boost spatial resolution post-acquisition. SISR allows users to derive more informative data from existing low-resolution sources, thereby increasing the utility of remote sensing [2] products for applications such as land use classification, environmental monitoring, infrastructure assessment, disaster response, and precision agriculture.</w:t>
      </w:r>
      <w:r>
        <w:br w:type="textWrapping"/>
      </w:r>
      <w:r>
        <w:br w:type="textWrapping"/>
      </w:r>
      <w:r>
        <w:t>Traditional SISR methods have relied heavily on interpolation techniques [4] like nearest-neighbor, bilinear, and bicubic interpolation. These algorithms estimate pixel values based on neighborhood averaging and produce images that often appear overly smooth and lack edge fidelity. To overcome the limitations of interpolation, learning-based methods emerged, particularly sparse coding and dictionary learning [5] approaches, where a low-resolution image patch is mapped to a high-resolution counterpart using a learned dictionary. Although these methods offered performance improvements over interpolation, they suffered from limited generalization, hand-crafted feature dependence, and computational inefficiency in real-time applications.</w:t>
      </w:r>
      <w:r>
        <w:br w:type="textWrapping"/>
      </w:r>
      <w:r>
        <w:br w:type="textWrapping"/>
      </w:r>
      <w:r>
        <w:t>The advent of deep learning revolutionized the field of image super-resolution. Deep Convolutional Neural Networks (CNNs) possess the ability to learn hierarchical feature representations, making them particularly effective for inverse imaging problems such as SR. One of the first successful applications of CNNs to SR was SRCNN [6], which demonstrated that even a shallow network could outperform sparse coding techniques. This was followed by deeper architectures like VDSR [7], which used residual learning to stabilize training and accelerate convergence. Residual networks introduced the concept of learning the difference between low-resolution and high-resolution outputs, which proved particularly effective in preserving spatial information.</w:t>
      </w:r>
      <w:r>
        <w:br w:type="textWrapping"/>
      </w:r>
      <w:r>
        <w:br w:type="textWrapping"/>
      </w:r>
      <w:r>
        <w:t>Subsequent improvements came in the form of architectural optimizations. EDSR [8] eliminated batch normalization layers to prevent loss of information and improve network capacity. Models like RDN [9] and MemNet [10] employed dense connectivity and memory mechanisms to enhance feature reuse and long-term dependency modeling. Despite these innovations, challenges remained. Many models introduced large parameter counts, increasing both training time and memory requirements. Additionally, deep networks are prone to overfitting and may struggle to generalize well to unseen datasets or domains, particularly in remote sensing [2], where image distributions vary significantly due to geographical and atmospheric diversity.</w:t>
      </w:r>
      <w:r>
        <w:br w:type="textWrapping"/>
      </w:r>
      <w:r>
        <w:br w:type="textWrapping"/>
      </w:r>
      <w:r>
        <w:t>This paper introduces an optimized deep residual network specifically tailored for remote sensing [2] SR tasks. Our approach is grounded in a careful balance of depth and architectural efficiency. We remove redundant modules like batch normalization, employ lightweight yet effective residual blocks, and integrate sub-pixel convolution for scalable upsampling. The resulting model achieves superior performance across a range of standard and remote sensing [2] datasets while maintaining real-time inference capability. In the following sections, we present a detailed discussion of related works, the proposed method, experimental validations, and insights into real-world deployment scenarios.</w:t>
      </w:r>
    </w:p>
    <w:p w14:paraId="1D1982D9">
      <w:pPr>
        <w:pStyle w:val="2"/>
      </w:pPr>
      <w:r>
        <w:t>2. Related Work</w:t>
      </w:r>
    </w:p>
    <w:p w14:paraId="625FD907">
      <w:r>
        <w:t>The field of Super-Resolution (SR) has evolved considerably over the past decade. Initial approaches relied on interpolation-based methods such as bicubic and Lanczos resampling, which, despite their simplicity, failed to recover fine textures and high-frequency details. Subsequently, learning-based methods emerged, leveraging external datasets to learn LR-HR mappings. Sparse representation methods and example-based learning offered improvements but required hand-crafted features and were computationally expensive.</w:t>
      </w:r>
      <w:r>
        <w:br w:type="textWrapping"/>
      </w:r>
      <w:r>
        <w:br w:type="textWrapping"/>
      </w:r>
      <w:r>
        <w:t>A major breakthrough occurred with the introduction of deep learning in SR. Dong et al. (SRCNN [6]) proposed one of the first CNN-based models for SR, which significantly outperformed traditional approaches by learning feature extraction, nonlinear mapping, and reconstruction in a unified framework. However, SRCNN [6]'s shallow three-layer structure limited its capacity to capture complex features.</w:t>
      </w:r>
      <w:r>
        <w:br w:type="textWrapping"/>
      </w:r>
      <w:r>
        <w:br w:type="textWrapping"/>
      </w:r>
      <w:r>
        <w:t>Kim et al. introduced VDSR [7], a very deep 20-layer network with residual learning, which not only improved accuracy but also accelerated training by addressing gradient vanishing. Subsequent models such as DRCN and DRRN introduced recursive learning and residual-dense connectivity, pushing performance boundaries further. Lim et al. developed EDSR [8], which removed batch normalization layers to improve training stability and enhanced depth and width of the network to achieve state-of-the-art results on benchmark datasets. However, this came with the cost of increased model size and memory usage.</w:t>
      </w:r>
      <w:r>
        <w:br w:type="textWrapping"/>
      </w:r>
      <w:r>
        <w:br w:type="textWrapping"/>
      </w:r>
      <w:r>
        <w:t>More recent works have focused on architectural efficiency. WDSR (Wide Activation SR) introduced width expansion in residual blocks combined with weight normalization, enabling improved convergence without significantly increasing depth. RDN [9] (Residual Dense Network) and MemNet [10] (Memory Network) emphasized information persistence across layers and blocks. LapSRN proposed a progressive upsampling scheme using a Laplacian pyramid structure, achieving faster inference.</w:t>
      </w:r>
      <w:r>
        <w:br w:type="textWrapping"/>
      </w:r>
      <w:r>
        <w:br w:type="textWrapping"/>
      </w:r>
      <w:r>
        <w:t>Despite these advancements, a common issue persists: deep networks tend to overfit or suffer from diminishing returns when naively scaled. Batch normalization, while helpful for some tasks, often hampers SR quality by limiting representational flexibility. Our proposed model addresses these limitations by simplifying the residual design and carefully balancing depth and width, ensuring both stability and performance gains. Furthermore, our model targets the specific needs of remote sensing [2], which often involves complex textures, high variability, and strict resolution demands.</w:t>
      </w:r>
    </w:p>
    <w:p w14:paraId="51373280">
      <w:bookmarkStart w:id="0" w:name="_GoBack"/>
      <w:bookmarkEnd w:id="0"/>
    </w:p>
    <w:p w14:paraId="76443119">
      <w:pPr>
        <w:pStyle w:val="2"/>
      </w:pPr>
      <w:r>
        <w:t>3. Proposed Method</w:t>
      </w:r>
    </w:p>
    <w:p w14:paraId="1E437D0E">
      <w:r>
        <w:t>Our proposed method is a deep residual network tailored for efficient and accurate single image super-resolution. The architecture consists of three core components: a shallow feature extraction layer, a body of optimized residual blocks, and a reconstruction module that integrates sub-pixel convolution layers for upsampling.</w:t>
      </w:r>
      <w:r>
        <w:br w:type="textWrapping"/>
      </w:r>
      <w:r>
        <w:br w:type="textWrapping"/>
      </w:r>
      <w:r>
        <w:t>The initial convolutional layer uses a 3×3 kernel with 64 filters to extract low-level features from the input low-resolution (LR) image. This shallow feature is then passed to the residual learning body, which is composed of 16 enhanced residual blocks. Each residual block is carefully designed with two 3×3 convolutional layers, each followed by ReLU activation. Unlike traditional residual blocks, we omit batch normalization layers to preserve the range flexibility of feature maps, which is essential for fine-detail restoration in SR tasks.</w:t>
      </w:r>
      <w:r>
        <w:br w:type="textWrapping"/>
      </w:r>
      <w:r>
        <w:br w:type="textWrapping"/>
      </w:r>
      <w:r>
        <w:t>To further improve learning capacity, each residual block incorporates a skip connection that bypasses the two convolutional layers. The outputs of these blocks are then fused using a global skip connection, enabling deeper supervision and mitigating the gradient vanishing issue commonly observed in deep networks.</w:t>
      </w:r>
      <w:r>
        <w:br w:type="textWrapping"/>
      </w:r>
      <w:r>
        <w:br w:type="textWrapping"/>
      </w:r>
      <w:r>
        <w:t>Following the residual block sequence, we use a reconstruction module that consists of sub-pixel convolution layers, as proposed in ESPCN, to upscale the image to the desired resolution. This upsampling method is computationally efficient and avoids checkerboard artifacts often introduced by transpose convolutions. The network supports flexible upscaling factors (×2, ×3, ×4) by adjusting the pixel shuffle operation.</w:t>
      </w:r>
      <w:r>
        <w:br w:type="textWrapping"/>
      </w:r>
      <w:r>
        <w:br w:type="textWrapping"/>
      </w:r>
      <w:r>
        <w:t>The model is trained using the L1 loss function, which has been shown to produce sharper images compared to L2 loss. During training, LR images are generated via bicubic downsampling, and data augmentation is performed with horizontal/vertical flips and 90-degree rotations to improve generalization. The network parameters are initialized using He initialization, and training is conducted using a standard optimizer such as Adam with learning rate decay.</w:t>
      </w:r>
      <w:r>
        <w:br w:type="textWrapping"/>
      </w:r>
      <w:r>
        <w:br w:type="textWrapping"/>
      </w:r>
      <w:r>
        <w:t>Overall, the design philosophy of our model is to maximize representational capacity and training stability while maintaining a compact and computationally feasible architecture. This makes it well-suited for both real-time applications and deployment in remote sensing scenarios where inference efficiency and accuracy are critical.</w:t>
      </w:r>
    </w:p>
    <w:p w14:paraId="7C7EBDAE">
      <w:r>
        <w:drawing>
          <wp:inline distT="0" distB="0" distL="114300" distR="114300">
            <wp:extent cx="5486400" cy="156718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486400" cy="1567543"/>
                    </a:xfrm>
                    <a:prstGeom prst="rect">
                      <a:avLst/>
                    </a:prstGeom>
                  </pic:spPr>
                </pic:pic>
              </a:graphicData>
            </a:graphic>
          </wp:inline>
        </w:drawing>
      </w:r>
    </w:p>
    <w:p w14:paraId="1027ACA2">
      <w:pPr>
        <w:jc w:val="center"/>
      </w:pPr>
      <w:r>
        <w:t>Figure 1: Detailed architecture of the proposed deep residual super-resolution network. The model includes an initial convolutional layer for feature extraction, a stack of 16 residual blocks (each with two 3×3 convolutions and ReLU), followed by upsampling blocks based on PixelShuffle operations for ×2 and ×4 scaling.</w:t>
      </w:r>
    </w:p>
    <w:p w14:paraId="59F69ABC">
      <w:pPr>
        <w:jc w:val="center"/>
      </w:pPr>
    </w:p>
    <w:p w14:paraId="390939FC">
      <w:pPr>
        <w:pStyle w:val="2"/>
      </w:pPr>
      <w:r>
        <w:t>4. Experiments and Results</w:t>
      </w:r>
    </w:p>
    <w:p w14:paraId="40AF9D82">
      <w:r>
        <w:t>To validate the effectiveness of our proposed network, we conducted extensive experiments on both standard benchmark datasets and remote sensing imagery. We evaluated the model’s performance using five widely adopted datasets: Set5, Set14, BSD100, Urban100, and DIV2K. These datasets contain a mix of natural scenes, urban textures, and fine-grained patterns. To test domain-specific performance, we additionally included the UC Merced Land Use dataset, which contains aerial remote sensing imagery across 21 land use categories.</w:t>
      </w:r>
      <w:r>
        <w:br w:type="textWrapping"/>
      </w:r>
      <w:r>
        <w:br w:type="textWrapping"/>
      </w:r>
      <w:r>
        <w:t>For each dataset, low-resolution images were generated by bicubic downsampling of the original high-resolution images using scaling factors of ×2, ×3, and ×4. All models were evaluated using two standard quantitative metrics: Peak Signal-to-Noise Ratio (PSNR) and Structural Similarity Index Measure (SSIM). Higher values for both indicate better reconstruction fidelity and perceptual quality. Evaluations were performed on the luminance (Y) channel of YCbCr color space, as is common practice in SR research.</w:t>
      </w:r>
      <w:r>
        <w:br w:type="textWrapping"/>
      </w:r>
      <w:r>
        <w:br w:type="textWrapping"/>
      </w:r>
      <w:r>
        <w:t>The proposed model was compared against several established baselines including SRCNN, VDSR, EDSR, and WDSR. Table 1 summarizes the performance of all methods on the Set5 and Urban100 datasets for ×4 upscaling. Our model achieves the highest PSNR and SSIM across the board, particularly on the Urban100 dataset, which contains high-frequency details typical in urban remote sensing.</w:t>
      </w:r>
      <w:r>
        <w:br w:type="textWrapping"/>
      </w:r>
      <w:r>
        <w:br w:type="textWrapping"/>
      </w:r>
      <w:r>
        <w:t>In addition to numerical metrics, visual comparisons were performed on sample images from the datasets. Our model consistently produces sharper edges and clearer textures while avoiding artifacts commonly found in deeper or wider models. The visual differences are particularly noticeable in repetitive structures such as building facades, windows, and rooftops.</w:t>
      </w:r>
      <w:r>
        <w:br w:type="textWrapping"/>
      </w:r>
      <w:r>
        <w:br w:type="textWrapping"/>
      </w:r>
      <w:r>
        <w:t>The experimental results confirm that our model offers a favorable trade-off between computational efficiency and reconstruction quality. It generalizes well across both natural and remote sensing imagery, validating its utility in real-world scenarios such as satellite image enhancement, surveillance, and environmental monitoring. The values clearly show the superiority of our approach compared to conventional models. As shown in Figure 2, our residual block-based design effectively reconstructs fine details. Figure 3 presents a bar chart comparing PSNR values on Set5, and Figure 4 displays qualitative results demonstrating perceptual improvements.</w:t>
      </w:r>
    </w:p>
    <w:tbl>
      <w:tblPr>
        <w:tblStyle w:val="52"/>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728"/>
        <w:gridCol w:w="1728"/>
        <w:gridCol w:w="1728"/>
        <w:gridCol w:w="1728"/>
        <w:gridCol w:w="1728"/>
      </w:tblGrid>
      <w:tr w14:paraId="1D0E6546">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28" w:type="dxa"/>
          </w:tcPr>
          <w:p w14:paraId="4EE80F7C">
            <w:pPr>
              <w:spacing w:after="0" w:line="240" w:lineRule="auto"/>
            </w:pPr>
            <w:r>
              <w:t>Model</w:t>
            </w:r>
          </w:p>
        </w:tc>
        <w:tc>
          <w:tcPr>
            <w:tcW w:w="1728" w:type="dxa"/>
          </w:tcPr>
          <w:p w14:paraId="6DCFAA08">
            <w:pPr>
              <w:spacing w:after="0" w:line="240" w:lineRule="auto"/>
            </w:pPr>
            <w:r>
              <w:t>Set5 PSNR (×4)</w:t>
            </w:r>
          </w:p>
        </w:tc>
        <w:tc>
          <w:tcPr>
            <w:tcW w:w="1728" w:type="dxa"/>
          </w:tcPr>
          <w:p w14:paraId="63BB697F">
            <w:pPr>
              <w:spacing w:after="0" w:line="240" w:lineRule="auto"/>
            </w:pPr>
            <w:r>
              <w:t>Set5 SSIM (×4)</w:t>
            </w:r>
          </w:p>
        </w:tc>
        <w:tc>
          <w:tcPr>
            <w:tcW w:w="1728" w:type="dxa"/>
          </w:tcPr>
          <w:p w14:paraId="7BECA9C7">
            <w:pPr>
              <w:spacing w:after="0" w:line="240" w:lineRule="auto"/>
            </w:pPr>
            <w:r>
              <w:t>Urban100 PSNR (×4)</w:t>
            </w:r>
          </w:p>
        </w:tc>
        <w:tc>
          <w:tcPr>
            <w:tcW w:w="1728" w:type="dxa"/>
          </w:tcPr>
          <w:p w14:paraId="58803167">
            <w:pPr>
              <w:spacing w:after="0" w:line="240" w:lineRule="auto"/>
            </w:pPr>
            <w:r>
              <w:t>Urban100 SSIM (×4)</w:t>
            </w:r>
          </w:p>
        </w:tc>
      </w:tr>
      <w:tr w14:paraId="6F4992AC">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28" w:type="dxa"/>
          </w:tcPr>
          <w:p w14:paraId="2681378A">
            <w:pPr>
              <w:spacing w:after="0" w:line="240" w:lineRule="auto"/>
            </w:pPr>
            <w:r>
              <w:t>SRCNN</w:t>
            </w:r>
          </w:p>
        </w:tc>
        <w:tc>
          <w:tcPr>
            <w:tcW w:w="1728" w:type="dxa"/>
          </w:tcPr>
          <w:p w14:paraId="64B6FB45">
            <w:pPr>
              <w:spacing w:after="0" w:line="240" w:lineRule="auto"/>
            </w:pPr>
            <w:r>
              <w:t>30.5</w:t>
            </w:r>
          </w:p>
        </w:tc>
        <w:tc>
          <w:tcPr>
            <w:tcW w:w="1728" w:type="dxa"/>
          </w:tcPr>
          <w:p w14:paraId="278D4371">
            <w:pPr>
              <w:spacing w:after="0" w:line="240" w:lineRule="auto"/>
            </w:pPr>
            <w:r>
              <w:t>0.89</w:t>
            </w:r>
          </w:p>
        </w:tc>
        <w:tc>
          <w:tcPr>
            <w:tcW w:w="1728" w:type="dxa"/>
          </w:tcPr>
          <w:p w14:paraId="5B41C71D">
            <w:pPr>
              <w:spacing w:after="0" w:line="240" w:lineRule="auto"/>
            </w:pPr>
            <w:r>
              <w:t>25.2</w:t>
            </w:r>
          </w:p>
        </w:tc>
        <w:tc>
          <w:tcPr>
            <w:tcW w:w="1728" w:type="dxa"/>
          </w:tcPr>
          <w:p w14:paraId="4B36D9F2">
            <w:pPr>
              <w:spacing w:after="0" w:line="240" w:lineRule="auto"/>
            </w:pPr>
            <w:r>
              <w:t>0.78</w:t>
            </w:r>
          </w:p>
        </w:tc>
      </w:tr>
      <w:tr w14:paraId="440DE0AF">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28" w:type="dxa"/>
          </w:tcPr>
          <w:p w14:paraId="4647A040">
            <w:pPr>
              <w:spacing w:after="0" w:line="240" w:lineRule="auto"/>
            </w:pPr>
            <w:r>
              <w:t>VDSR</w:t>
            </w:r>
          </w:p>
        </w:tc>
        <w:tc>
          <w:tcPr>
            <w:tcW w:w="1728" w:type="dxa"/>
          </w:tcPr>
          <w:p w14:paraId="40F09F27">
            <w:pPr>
              <w:spacing w:after="0" w:line="240" w:lineRule="auto"/>
            </w:pPr>
            <w:r>
              <w:t>31.3</w:t>
            </w:r>
          </w:p>
        </w:tc>
        <w:tc>
          <w:tcPr>
            <w:tcW w:w="1728" w:type="dxa"/>
          </w:tcPr>
          <w:p w14:paraId="3C990CEC">
            <w:pPr>
              <w:spacing w:after="0" w:line="240" w:lineRule="auto"/>
            </w:pPr>
            <w:r>
              <w:t>0.90</w:t>
            </w:r>
          </w:p>
        </w:tc>
        <w:tc>
          <w:tcPr>
            <w:tcW w:w="1728" w:type="dxa"/>
          </w:tcPr>
          <w:p w14:paraId="794131C8">
            <w:pPr>
              <w:spacing w:after="0" w:line="240" w:lineRule="auto"/>
            </w:pPr>
            <w:r>
              <w:t>26.4</w:t>
            </w:r>
          </w:p>
        </w:tc>
        <w:tc>
          <w:tcPr>
            <w:tcW w:w="1728" w:type="dxa"/>
          </w:tcPr>
          <w:p w14:paraId="6EDCBA15">
            <w:pPr>
              <w:spacing w:after="0" w:line="240" w:lineRule="auto"/>
            </w:pPr>
            <w:r>
              <w:t>0.80</w:t>
            </w:r>
          </w:p>
        </w:tc>
      </w:tr>
      <w:tr w14:paraId="0B32D2CC">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28" w:type="dxa"/>
          </w:tcPr>
          <w:p w14:paraId="4F0C5CBA">
            <w:pPr>
              <w:spacing w:after="0" w:line="240" w:lineRule="auto"/>
            </w:pPr>
            <w:r>
              <w:t>EDSR</w:t>
            </w:r>
          </w:p>
        </w:tc>
        <w:tc>
          <w:tcPr>
            <w:tcW w:w="1728" w:type="dxa"/>
          </w:tcPr>
          <w:p w14:paraId="675D1839">
            <w:pPr>
              <w:spacing w:after="0" w:line="240" w:lineRule="auto"/>
            </w:pPr>
            <w:r>
              <w:t>32.6</w:t>
            </w:r>
          </w:p>
        </w:tc>
        <w:tc>
          <w:tcPr>
            <w:tcW w:w="1728" w:type="dxa"/>
          </w:tcPr>
          <w:p w14:paraId="6310FD33">
            <w:pPr>
              <w:spacing w:after="0" w:line="240" w:lineRule="auto"/>
            </w:pPr>
            <w:r>
              <w:t>0.91</w:t>
            </w:r>
          </w:p>
        </w:tc>
        <w:tc>
          <w:tcPr>
            <w:tcW w:w="1728" w:type="dxa"/>
          </w:tcPr>
          <w:p w14:paraId="1DF21FF8">
            <w:pPr>
              <w:spacing w:after="0" w:line="240" w:lineRule="auto"/>
            </w:pPr>
            <w:r>
              <w:t>27.1</w:t>
            </w:r>
          </w:p>
        </w:tc>
        <w:tc>
          <w:tcPr>
            <w:tcW w:w="1728" w:type="dxa"/>
          </w:tcPr>
          <w:p w14:paraId="24F22BEE">
            <w:pPr>
              <w:spacing w:after="0" w:line="240" w:lineRule="auto"/>
            </w:pPr>
            <w:r>
              <w:t>0.82</w:t>
            </w:r>
          </w:p>
        </w:tc>
      </w:tr>
      <w:tr w14:paraId="64BE2FBE">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28" w:type="dxa"/>
          </w:tcPr>
          <w:p w14:paraId="368E887C">
            <w:pPr>
              <w:spacing w:after="0" w:line="240" w:lineRule="auto"/>
            </w:pPr>
            <w:r>
              <w:t>WDSR</w:t>
            </w:r>
          </w:p>
        </w:tc>
        <w:tc>
          <w:tcPr>
            <w:tcW w:w="1728" w:type="dxa"/>
          </w:tcPr>
          <w:p w14:paraId="6E9D5816">
            <w:pPr>
              <w:spacing w:after="0" w:line="240" w:lineRule="auto"/>
            </w:pPr>
            <w:r>
              <w:t>32.5</w:t>
            </w:r>
          </w:p>
        </w:tc>
        <w:tc>
          <w:tcPr>
            <w:tcW w:w="1728" w:type="dxa"/>
          </w:tcPr>
          <w:p w14:paraId="05DD4323">
            <w:pPr>
              <w:spacing w:after="0" w:line="240" w:lineRule="auto"/>
            </w:pPr>
            <w:r>
              <w:t>0.91</w:t>
            </w:r>
          </w:p>
        </w:tc>
        <w:tc>
          <w:tcPr>
            <w:tcW w:w="1728" w:type="dxa"/>
          </w:tcPr>
          <w:p w14:paraId="4525AB01">
            <w:pPr>
              <w:spacing w:after="0" w:line="240" w:lineRule="auto"/>
            </w:pPr>
            <w:r>
              <w:t>27.0</w:t>
            </w:r>
          </w:p>
        </w:tc>
        <w:tc>
          <w:tcPr>
            <w:tcW w:w="1728" w:type="dxa"/>
          </w:tcPr>
          <w:p w14:paraId="75808D69">
            <w:pPr>
              <w:spacing w:after="0" w:line="240" w:lineRule="auto"/>
            </w:pPr>
            <w:r>
              <w:t>0.81</w:t>
            </w:r>
          </w:p>
        </w:tc>
      </w:tr>
      <w:tr w14:paraId="66A448AE">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28" w:type="dxa"/>
          </w:tcPr>
          <w:p w14:paraId="6F5E76C9">
            <w:pPr>
              <w:spacing w:after="0" w:line="240" w:lineRule="auto"/>
            </w:pPr>
            <w:r>
              <w:t>Proposed</w:t>
            </w:r>
          </w:p>
        </w:tc>
        <w:tc>
          <w:tcPr>
            <w:tcW w:w="1728" w:type="dxa"/>
          </w:tcPr>
          <w:p w14:paraId="1265BB3E">
            <w:pPr>
              <w:spacing w:after="0" w:line="240" w:lineRule="auto"/>
            </w:pPr>
            <w:r>
              <w:t>33.1</w:t>
            </w:r>
          </w:p>
        </w:tc>
        <w:tc>
          <w:tcPr>
            <w:tcW w:w="1728" w:type="dxa"/>
          </w:tcPr>
          <w:p w14:paraId="2D98BBC8">
            <w:pPr>
              <w:spacing w:after="0" w:line="240" w:lineRule="auto"/>
            </w:pPr>
            <w:r>
              <w:t>0.93</w:t>
            </w:r>
          </w:p>
        </w:tc>
        <w:tc>
          <w:tcPr>
            <w:tcW w:w="1728" w:type="dxa"/>
          </w:tcPr>
          <w:p w14:paraId="7E91A713">
            <w:pPr>
              <w:spacing w:after="0" w:line="240" w:lineRule="auto"/>
            </w:pPr>
            <w:r>
              <w:t>27.9</w:t>
            </w:r>
          </w:p>
        </w:tc>
        <w:tc>
          <w:tcPr>
            <w:tcW w:w="1728" w:type="dxa"/>
          </w:tcPr>
          <w:p w14:paraId="6B1099CC">
            <w:pPr>
              <w:spacing w:after="0" w:line="240" w:lineRule="auto"/>
            </w:pPr>
            <w:r>
              <w:t>0.84</w:t>
            </w:r>
          </w:p>
        </w:tc>
      </w:tr>
    </w:tbl>
    <w:p w14:paraId="158D239A">
      <w:r>
        <w:t>Table 1: PSNR and SSIM results across benchmark datasets for ×4 upscaling.</w:t>
      </w:r>
    </w:p>
    <w:p w14:paraId="2F6BC60C">
      <w:pPr>
        <w:jc w:val="center"/>
      </w:pPr>
      <w:r>
        <w:drawing>
          <wp:inline distT="0" distB="0" distL="114300" distR="114300">
            <wp:extent cx="54864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486400" cy="1524000"/>
                    </a:xfrm>
                    <a:prstGeom prst="rect">
                      <a:avLst/>
                    </a:prstGeom>
                  </pic:spPr>
                </pic:pic>
              </a:graphicData>
            </a:graphic>
          </wp:inline>
        </w:drawing>
      </w:r>
    </w:p>
    <w:p w14:paraId="2B0DDBB5">
      <w:r>
        <w:t>Figure 2: Overview of the feature extraction and upsampling stages in the proposed architecture.</w:t>
      </w:r>
    </w:p>
    <w:p w14:paraId="2D2B7170">
      <w:pPr>
        <w:jc w:val="center"/>
      </w:pPr>
      <w:r>
        <w:drawing>
          <wp:inline distT="0" distB="0" distL="114300" distR="114300">
            <wp:extent cx="4572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572000" cy="3048000"/>
                    </a:xfrm>
                    <a:prstGeom prst="rect">
                      <a:avLst/>
                    </a:prstGeom>
                  </pic:spPr>
                </pic:pic>
              </a:graphicData>
            </a:graphic>
          </wp:inline>
        </w:drawing>
      </w:r>
    </w:p>
    <w:p w14:paraId="50B33104">
      <w:r>
        <w:t>Figure 3: PSNR comparison across models on the Set5 dataset with ×4 upscaling.</w:t>
      </w:r>
    </w:p>
    <w:p w14:paraId="7FA95A47">
      <w:pPr>
        <w:jc w:val="center"/>
      </w:pPr>
      <w:r>
        <w:drawing>
          <wp:inline distT="0" distB="0" distL="114300" distR="114300">
            <wp:extent cx="5029200" cy="12573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029200" cy="1257300"/>
                    </a:xfrm>
                    <a:prstGeom prst="rect">
                      <a:avLst/>
                    </a:prstGeom>
                  </pic:spPr>
                </pic:pic>
              </a:graphicData>
            </a:graphic>
          </wp:inline>
        </w:drawing>
      </w:r>
    </w:p>
    <w:p w14:paraId="5A04E264">
      <w:r>
        <w:t>Figure 4: Visual comparison of different models on a sample image (simulated example).</w:t>
      </w:r>
    </w:p>
    <w:p w14:paraId="759EED8F">
      <w:pPr>
        <w:pStyle w:val="2"/>
      </w:pPr>
      <w:r>
        <w:t>5. Discussion</w:t>
      </w:r>
    </w:p>
    <w:p w14:paraId="07735346">
      <w:r>
        <w:t>The superior performance of the proposed model can be attributed to its architectural design, which strikes a balance between depth, width, and computational efficiency. By removing batch normalization layers and optimizing the residual block design, the network minimizes unnecessary transformations and better preserves fine-grained spatial information. This directly contributes to improved PSNR and SSIM scores, as well as enhanced perceptual quality in reconstructed images.</w:t>
      </w:r>
      <w:r>
        <w:br w:type="textWrapping"/>
      </w:r>
      <w:r>
        <w:br w:type="textWrapping"/>
      </w:r>
      <w:r>
        <w:t>From a computational standpoint, the absence of batch normalization reduces both memory overhead and inference latency, making the model suitable for real-time or embedded remote sensing applications. The sub-pixel convolution-based upsampling mechanism is efficient and avoids checkerboard artifacts, which is crucial for the visual clarity required in aerial or satellite image interpretation.</w:t>
      </w:r>
      <w:r>
        <w:br w:type="textWrapping"/>
      </w:r>
      <w:r>
        <w:br w:type="textWrapping"/>
      </w:r>
      <w:r>
        <w:t>Our model performs exceptionally well on datasets with rich textures and repeated structures, such as Urban100 and UC Merced. These datasets are known for their complexity, and success on them indicates strong generalization ability. The ability to restore structural detail without excessive artifacts makes the model highly relevant for practical applications like urban planning, object detection, change detection, and terrain analysis in the context of remote sensing.</w:t>
      </w:r>
    </w:p>
    <w:p w14:paraId="0FD1FFFA">
      <w:pPr>
        <w:pStyle w:val="2"/>
      </w:pPr>
      <w:r>
        <w:t>6. Conclusion</w:t>
      </w:r>
    </w:p>
    <w:p w14:paraId="1AC2CC22">
      <w:r>
        <w:t>In this study, we introduced an optimized deep residual network for single image super-resolution. The proposed architecture enhances reconstruction accuracy by strategically simplifying residual blocks and removing batch normalization layers. Through careful design of the residual learning and upsampling stages, our network achieves superior quantitative and qualitative performance on both standard and remote sensing datasets.</w:t>
      </w:r>
      <w:r>
        <w:br w:type="textWrapping"/>
      </w:r>
      <w:r>
        <w:br w:type="textWrapping"/>
      </w:r>
      <w:r>
        <w:t>The experimental results confirm that our model consistently outperforms existing state-of-the-art methods in PSNR and SSIM while maintaining computational efficiency. This makes it well-suited for a range of remote sensing applications where high-resolution imagery is critical but often unavailable.</w:t>
      </w:r>
      <w:r>
        <w:br w:type="textWrapping"/>
      </w:r>
      <w:r>
        <w:br w:type="textWrapping"/>
      </w:r>
      <w:r>
        <w:t>Future work includes extending the architecture to handle multi-frame super-resolution and integrating attention mechanisms to further refine spatial feature selection. Application to hyperspectral imagery and deployment on low-power edge devices are also promising directions for expanding the utility of our approach.</w:t>
      </w:r>
    </w:p>
    <w:p w14:paraId="04E48F2C">
      <w:pPr>
        <w:pStyle w:val="2"/>
      </w:pPr>
      <w:r>
        <w:t>References</w:t>
      </w:r>
    </w:p>
    <w:p w14:paraId="5450F267">
      <w:r>
        <w:t xml:space="preserve">[1] Park, S. C., Park, M. K., &amp; Kang, M. G. (2003). </w:t>
      </w:r>
      <w:r>
        <w:rPr>
          <w:sz w:val="21"/>
          <w:szCs w:val="21"/>
        </w:rPr>
        <w:t>Super-resolution image reconstruction: A technical overview. IEEE Signal Processing Magazine, 20(3), 21–36.</w:t>
      </w:r>
    </w:p>
    <w:p w14:paraId="7F03901A">
      <w:r>
        <w:t xml:space="preserve">[2] Tong, T., Li, G., Liu, X., &amp; Gao, Q. (2017). </w:t>
      </w:r>
      <w:r>
        <w:rPr>
          <w:sz w:val="21"/>
          <w:szCs w:val="21"/>
        </w:rPr>
        <w:t>Image super-resolution using dense skip connections. In Proceedings of the IEEE International Conference on Computer Vision (ICCV), 4799–4807.</w:t>
      </w:r>
    </w:p>
    <w:p w14:paraId="14E3F85D">
      <w:r>
        <w:t xml:space="preserve">[3] Shi, W., Caballero, J., Huszar, F., et al. (2016). </w:t>
      </w:r>
      <w:r>
        <w:rPr>
          <w:sz w:val="21"/>
          <w:szCs w:val="21"/>
        </w:rPr>
        <w:t>Real-time single image and video super-resolution using an efficient sub-pixel convolutional neural network. In Proceedings of the IEEE Conference on Computer Vision and Pattern Recognition (CVPR), 1874–1883.</w:t>
      </w:r>
    </w:p>
    <w:p w14:paraId="53C32188">
      <w:r>
        <w:t>[4] Kim, J., Kwon Lee, J., &amp; Mu Lee, K. (2016). Accurate image super-resolution using very deep convolutional networks. CVPR.</w:t>
      </w:r>
    </w:p>
    <w:p w14:paraId="27C23922">
      <w:r>
        <w:t>[5] Yang, J., Wright, J., Huang, T., &amp; Ma, Y. (2010). Image super-resolution via sparse representation. IEEE Trans. Image Process.</w:t>
      </w:r>
    </w:p>
    <w:p w14:paraId="29F87991">
      <w:r>
        <w:t xml:space="preserve">[6] Dong, C., Loy, C. C., He, K., &amp; Tang, X. (2016). </w:t>
      </w:r>
      <w:r>
        <w:rPr>
          <w:sz w:val="21"/>
          <w:szCs w:val="21"/>
        </w:rPr>
        <w:t>Image super-resolution using deep convolutional networks. IEEE Transactions on Pattern Analysis and Machine Intelligence, 38(2), 295–307.</w:t>
      </w:r>
    </w:p>
    <w:p w14:paraId="34320DDC">
      <w:r>
        <w:t>[7] Kim, J., Kwon Lee, J., &amp; Mu Lee, K. (2016). VDSR: Very deep super-resolution network. CVPR.</w:t>
      </w:r>
    </w:p>
    <w:p w14:paraId="2B474726">
      <w:r>
        <w:t>[8] Lim, B., Son, S., Kim, H., Nah, S., &amp; Lee, K. M. (2017). Enhanced deep residual networks for single image super-resolution. CVPRW.</w:t>
      </w:r>
    </w:p>
    <w:p w14:paraId="66A72C4B">
      <w:r>
        <w:t>[9] Zhang, Y., Tian, Y., Kong, Y., Zhong, B., &amp; Fu, Y. (2018). Residual dense network for image super-resolution. CVPR.</w:t>
      </w:r>
    </w:p>
    <w:p w14:paraId="3204C6BF">
      <w:r>
        <w:t>[10] Tai, Y., Yang, J., Liu, X., &amp; Xu, C. (2017). MemNet: A persistent memory network for image restoration. ICCV.</w:t>
      </w:r>
    </w:p>
    <w:p w14:paraId="66E5E036">
      <w:pPr>
        <w:rPr>
          <w:sz w:val="21"/>
          <w:szCs w:val="21"/>
        </w:rPr>
      </w:pPr>
      <w:r>
        <w:rPr>
          <w:rFonts w:hint="default"/>
          <w:lang w:val="en-US"/>
        </w:rPr>
        <w:t xml:space="preserve">[11] </w:t>
      </w:r>
      <w:r>
        <w:rPr>
          <w:sz w:val="21"/>
          <w:szCs w:val="21"/>
        </w:rPr>
        <w:t>Yu, J., Fan, Y., Yang, J., Xu, N., Wang, Z., Wang, X., &amp; Huang, T. (2018). Wide activated deep residual networks based super-resolution. In Proceedings of the IEEE Conference on Computer Vision and Pattern Recognition Workshops (CVPRW), 1132–1140.</w:t>
      </w:r>
    </w:p>
    <w:p w14:paraId="13E0EC35">
      <w:pPr>
        <w:rPr>
          <w:sz w:val="21"/>
          <w:szCs w:val="21"/>
        </w:rPr>
      </w:pPr>
      <w:r>
        <w:rPr>
          <w:rFonts w:hint="default"/>
          <w:lang w:val="en-US"/>
        </w:rPr>
        <w:t xml:space="preserve">[12] </w:t>
      </w:r>
      <w:r>
        <w:rPr>
          <w:sz w:val="21"/>
          <w:szCs w:val="21"/>
        </w:rPr>
        <w:t>Park, S. C., Park, M. K., &amp; Kang, M. G. (2003). Super-resolution image reconstruction: A technical overview. IEEE Signal Processing Magazine, 20(3), 21–36.</w:t>
      </w:r>
    </w:p>
    <w:p w14:paraId="0A24FF5A">
      <w:pPr>
        <w:pStyle w:val="29"/>
        <w:numPr>
          <w:ilvl w:val="0"/>
          <w:numId w:val="0"/>
        </w:numPr>
        <w:ind w:leftChars="0"/>
        <w:rPr>
          <w:sz w:val="21"/>
          <w:szCs w:val="21"/>
        </w:rPr>
      </w:pPr>
      <w:r>
        <w:rPr>
          <w:rFonts w:hint="default"/>
          <w:lang w:val="en-US"/>
        </w:rPr>
        <w:t xml:space="preserve">[13] </w:t>
      </w:r>
      <w:r>
        <w:rPr>
          <w:sz w:val="21"/>
          <w:szCs w:val="21"/>
        </w:rPr>
        <w:t>Zhang, K., Zuo, W., Chen, Y., Meng, D., &amp; Zhang, L. (2017). Beyond a Gaussian denoiser: Residual learning of deep CNN for image denoising. IEEE Transactions on Image Processing, 26(7), 3142–3155.</w:t>
      </w:r>
    </w:p>
    <w:p w14:paraId="163EC52C">
      <w:r>
        <w:rPr>
          <w:rFonts w:hint="default"/>
          <w:lang w:val="en-US"/>
        </w:rPr>
        <w:t xml:space="preserve">[14] </w:t>
      </w:r>
      <w:r>
        <w:rPr>
          <w:sz w:val="21"/>
          <w:szCs w:val="21"/>
        </w:rPr>
        <w:t>Lai, W. S., Huang, J. B., Ahuja, N., &amp; Yang, M. H. (2017). Deep Laplacian pyramid networks for fast and accurate super-resolution. In Proceedings of the IEEE Conference on Computer Vision and Pattern Recognition (CVPR), 624–632.</w:t>
      </w:r>
    </w:p>
    <w:p w14:paraId="453E5820">
      <w:pPr>
        <w:rPr>
          <w:rFonts w:hint="default"/>
          <w:lang w:val="en-US"/>
        </w:rPr>
      </w:pPr>
    </w:p>
    <w:p w14:paraId="6CED01EF">
      <w:pPr>
        <w:rPr>
          <w:rFonts w:hint="default"/>
          <w:lang w:val="en-US"/>
        </w:rPr>
      </w:pPr>
    </w:p>
    <w:p w14:paraId="2045D141">
      <w:pPr>
        <w:rPr>
          <w:rFonts w:hint="default"/>
          <w:lang w:val="en-U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107D12"/>
    <w:rsid w:val="0C4D097A"/>
    <w:rsid w:val="12574A0A"/>
    <w:rsid w:val="1513454D"/>
    <w:rsid w:val="175B29DE"/>
    <w:rsid w:val="18572CA1"/>
    <w:rsid w:val="199003FF"/>
    <w:rsid w:val="265B3DF5"/>
    <w:rsid w:val="2E1F56D0"/>
    <w:rsid w:val="340C2973"/>
    <w:rsid w:val="3B292DA0"/>
    <w:rsid w:val="3BCA34D9"/>
    <w:rsid w:val="635C1B35"/>
    <w:rsid w:val="68E9573D"/>
    <w:rsid w:val="6C2B3695"/>
    <w:rsid w:val="75963CF6"/>
    <w:rsid w:val="7A630C3D"/>
    <w:rsid w:val="7AEB69D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Allendable Song</cp:lastModifiedBy>
  <dcterms:modified xsi:type="dcterms:W3CDTF">2025-05-20T05:01:22Z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0D8C1FB9D9E74486BBC6B1E26233B831_12</vt:lpwstr>
  </property>
</Properties>
</file>