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f172a"/>
          <w:sz w:val="32"/>
          <w:szCs w:val="32"/>
        </w:rPr>
        <w:t xml:space="preserve">Projeto Mensal 4 — Visualização de Dados e Dashboard</w:t>
      </w:r>
    </w:p>
    <w:p>
      <w:pPr>
        <w:spacing w:after="60"/>
        <w:jc w:val="center"/>
      </w:pPr>
      <w:r>
        <w:rPr>
          <w:color w:val="475569"/>
          <w:sz w:val="22"/>
          <w:szCs w:val="22"/>
        </w:rPr>
        <w:t xml:space="preserve">Cargos Vagos e Vacâncias do Executivo Federal Civil — SEGES/MGI, competência 03/2026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Etapas 1, 2 e 3 — Briefing, Planejamento e Construção das Visualizações</w:t>
      </w:r>
    </w:p>
    <w:p>
      <w:pPr>
        <w:spacing w:after="240"/>
        <w:jc w:val="center"/>
      </w:pPr>
      <w:r>
        <w:rPr>
          <w:color w:val="475569"/>
          <w:sz w:val="18"/>
          <w:szCs w:val="18"/>
        </w:rPr>
        <w:t xml:space="preserve">Equipe: Heron Felipe Juvenil Divino, Jihad Riad Ghozayel, Nicolas Gabriel Correa Martão</w:t>
      </w:r>
    </w:p>
    <w:p>
      <w:pPr>
        <w:pStyle w:val="Heading1"/>
      </w:pPr>
      <w:r>
        <w:t xml:space="preserve">Etapa 1 — Briefing da visualização</w:t>
      </w:r>
    </w:p>
    <w:p>
      <w:pPr>
        <w:spacing w:after="140"/>
      </w:pPr>
      <w:r>
        <w:t xml:space="preserve">Antes de construir os gráficos, organizamos o objetivo da análise. Esta etapa define o tema, o problema que a base ajuda a entender, quem usa essa informação para decidir, as perguntas que os gráficos respondem e os indicadores escolhidos. Toda decisão de visualização das etapas seguintes parte daqui.</w:t>
      </w:r>
    </w:p>
    <w:p>
      <w:pPr>
        <w:pStyle w:val="Heading2"/>
      </w:pPr>
      <w:r>
        <w:t xml:space="preserve">Tema da base</w:t>
      </w:r>
    </w:p>
    <w:p>
      <w:pPr>
        <w:spacing w:after="140"/>
      </w:pPr>
      <w:r>
        <w:t xml:space="preserve">A base trata da gestão quantitativa de pessoas no Poder Executivo Federal Civil brasileiro. Ela é a fotografia mensal do quadro de pessoal de cada órgão federal na competência de março de 2026: quantos cargos foram aprovados em lei, quantos estão ocupados, quantos estão vagos, e o fluxo de saída de servidores no mês por sete causas distintas. A unidade de análise é a combinação órgão × cargo, ou seja, cada linha é uma carreira específica dentro de um órgão específico.</w:t>
      </w:r>
    </w:p>
    <w:p>
      <w:pPr>
        <w:pStyle w:val="Heading2"/>
      </w:pPr>
      <w:r>
        <w:t xml:space="preserve">Problema que a base ajuda a entender</w:t>
      </w:r>
    </w:p>
    <w:p>
      <w:pPr>
        <w:spacing w:after="140"/>
      </w:pPr>
      <w:r>
        <w:t xml:space="preserve">A base permite enxergar o déficit de pessoal do governo federal e suas causas. Com ela é possível identificar onde faltam servidores, qual o tamanho real do déficit e por que os cargos vagam — distinguindo se a saída se deve a rotatividade (exoneração, demissão) ou a transição demográfica (aposentadoria). Esse entendimento é insumo direto para planejar concursos e dimensionar a folha de pagamento da União, uma das maiores despesas do Orçamento Federal.</w:t>
      </w:r>
    </w:p>
    <w:p>
      <w:pPr>
        <w:pStyle w:val="Heading2"/>
      </w:pPr>
      <w:r>
        <w:t xml:space="preserve">Quem usa essas informações para decidir</w:t>
      </w:r>
    </w:p>
    <w:p>
      <w:pPr>
        <w:spacing w:after="140"/>
      </w:pPr>
      <w:r>
        <w:t xml:space="preserve">A SEGES/MGI e o Ministério do Planejamento usam para autorizar concursos e dimensionar o orçamento de pessoal. Os dirigentes de cada órgão usam para gerir o próprio quadro. Os órgãos de controle, como TCU e CGU, usam para fiscalizar a alocação de cargos. O Congresso Nacional usa para discutir políticas de pessoal, e sindicatos e pesquisadores usam para acompanhar a evolução do serviço público.</w:t>
      </w:r>
    </w:p>
    <w:p>
      <w:pPr>
        <w:pStyle w:val="Heading2"/>
      </w:pPr>
      <w:r>
        <w:t xml:space="preserve">Indicadores utilizados</w:t>
      </w:r>
    </w:p>
    <w:p>
      <w:pPr>
        <w:spacing w:after="140"/>
      </w:pPr>
      <w:r>
        <w:t xml:space="preserve">Selecionamos cinco indicadores, todos calculados a partir das colunas tratadas no PM3 e exibidos no topo do dashboard: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 de cargos analisados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 de registros da base (12.769)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Taxa de ocupação federal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Soma de ocupados dividida pela soma de aprovados, agregada (66,9%)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Déficit nominal total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Soma das vagas em aberto (232.149)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% de vacâncias por aposentadoria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Participação da aposentadoria no total de vacâncias do mês (76,7%)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Cargos em extinção com ocupante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 de cargos marcados como em extinção que ainda têm servidores (3.558)</w:t>
            </w:r>
          </w:p>
        </w:tc>
      </w:tr>
    </w:tbl>
    <w:p>
      <w:pPr>
        <w:pStyle w:val="Heading2"/>
      </w:pPr>
      <w:r>
        <w:t xml:space="preserve">Perguntas analíticas</w:t>
      </w:r>
    </w:p>
    <w:p>
      <w:pPr>
        <w:spacing w:after="140"/>
      </w:pPr>
      <w:r>
        <w:t xml:space="preserve">O enunciado pede no mínimo três perguntas; definimos cinco, e cada uma é respondida por um gráfico específico das etapas seguintes: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1. Quais órgãos concentram mais vagas em aberto?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Respondida pelo Gráfico 1 (Top órgãos). Identifica a categoria com maior quantidade de vagas.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2. Qual o peso de cada causa de vacância?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Respondida pelo Gráfico 2 (vacâncias por causa). Mostra a concentração: a aposentadoria domina com 76,7%.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3. O déficit está concentrado em poucos órgãos ou diluído?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Respondida pelo Gráfico 4 (Pareto). Mede a concentração: quatro órgãos somam cerca de 49% das vagas.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4. Quantos cargos estão críticos versus completos?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Respondida pelo Gráfico 5 (faixa de ocupação). Mostra valores acima e abaixo da média e explica o paradoxo entre a média individual e a taxa agregada.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5. Os cargos em extinção concentram-se em algum porte?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Respondida pelo Gráfico 6 (porte × extinção). Compara o comportamento de grupos distintos de cargos.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Etapa 2 — Planejamento dos gráficos</w:t>
      </w:r>
    </w:p>
    <w:p>
      <w:pPr>
        <w:spacing w:after="140"/>
      </w:pPr>
      <w:r>
        <w:t xml:space="preserve">Parti da base tratada no PM3 (12.769 registros, 37 colunas) e selecionei seis visualizações. Cada uma nasce de uma pergunta analítica concreta e usa colunas específicas do dataset final. O critério foi simples: o gráfico precisa responder a uma pergunta de decisão; se não responde, não entra.</w:t>
      </w:r>
    </w:p>
    <w:p>
      <w:pPr>
        <w:pStyle w:val="Heading2"/>
      </w:pPr>
      <w:r>
        <w:t xml:space="preserve">Gráfico 1 — Top 15 órgãos por vagas em aberto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Barras horizontais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Colunas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sigla_orgao, qtd_vaga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Pergunta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Quais órgãos concentram o maior déficit de pessoal?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Ranking de categorias com rótulos longos lê-se melhor na horizontal; a ordenação revela a magnitude relativa de cada órgão de forma imediata.</w:t>
            </w:r>
          </w:p>
        </w:tc>
      </w:tr>
    </w:tbl>
    <w:p>
      <w:pPr>
        <w:pStyle w:val="Heading2"/>
      </w:pPr>
      <w:r>
        <w:t xml:space="preserve">Gráfico 2 — Composição das vacâncias por causa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Barras horizontais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Colunas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vac_aposentadoria, vac_posse_cargo_inac, vac_exoneracao, vac_falecimento, vac_demissao, vac_promocao, vac_readaptacao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Pergunta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 o peso de cada uma das sete causas de saída de servidores?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Sete categorias com magnitudes muito diferentes: a barra horizontal ordenada permite comparar valores absolutos com precisão e isola visualmente o peso dominante da aposentadoria, sem a distorção de leitura de ângulos de um gráfico de pizza.</w:t>
            </w:r>
          </w:p>
        </w:tc>
      </w:tr>
    </w:tbl>
    <w:p>
      <w:pPr>
        <w:pStyle w:val="Heading2"/>
      </w:pPr>
      <w:r>
        <w:t xml:space="preserve">Gráfico 3 — Taxa de ocupação: NS vs NI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Colunas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nivel, qtd_ocupada, qtd_aprovada (taxa agregada)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Pergunta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nível de escolaridade do cargo altera a taxa de ocupação?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Comparação direta entre dois grupos resolve-se com colunas lado a lado; a linha de referência da média federal contextualiza cada barra.</w:t>
            </w:r>
          </w:p>
        </w:tc>
      </w:tr>
    </w:tbl>
    <w:p>
      <w:pPr>
        <w:pStyle w:val="Heading2"/>
      </w:pPr>
      <w:r>
        <w:t xml:space="preserve">Gráfico 4 — Concentração de vagas por órgão (Pareto)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Pareto (barras + linha acumulada)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Colunas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sigla_orgao, qtd_vaga (e % acumulado)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Pergunta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déficit está concentrado em poucos órgãos ou diluído?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Pareto é o gráfico canônico de concentração; a linha acumulada mostra quantos órgãos bastam para explicar a maior parte do déficit.</w:t>
            </w:r>
          </w:p>
        </w:tc>
      </w:tr>
    </w:tbl>
    <w:p>
      <w:pPr>
        <w:pStyle w:val="Heading2"/>
      </w:pPr>
      <w:r>
        <w:t xml:space="preserve">Gráfico 5 — Distribuição de cargos por faixa de ocupação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Colunas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faixa_taxa_ocupacao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Pergunta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Quantos cargos estão em situação crítica versus completos?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Categórica ordinal criada no PM3; as colunas mostram a frequência de cada faixa e ajudam a explicar o paradoxo entre média individual e taxa agregada.</w:t>
            </w:r>
          </w:p>
        </w:tc>
      </w:tr>
    </w:tbl>
    <w:p>
      <w:pPr>
        <w:pStyle w:val="Heading2"/>
      </w:pPr>
      <w:r>
        <w:t xml:space="preserve">Gráfico 6 — Cargos por porte × situação de extinção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Barras empilhadas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Colunas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porte_cargo, em_extincao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Pergunta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cargos em extinção concentram-se em algum porte específico?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Cruzamento de duas categóricas; a barra empilhada compara o total por porte e a fatia em extinção dentro de cada um simultaneamente.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Etapa 3 — Construção das visualizações</w:t>
      </w:r>
    </w:p>
    <w:p>
      <w:pPr>
        <w:spacing w:after="140"/>
      </w:pPr>
      <w:r>
        <w:t xml:space="preserve">As seis visualizações abaixo foram geradas a partir do dataset final tratado. Cada uma traz título, eixos identificados e a leitura do que mostra.</w:t>
      </w:r>
    </w:p>
    <w:p>
      <w:pPr>
        <w:pStyle w:val="Heading2"/>
      </w:pPr>
      <w:r>
        <w:t xml:space="preserve">Gráfico 1 — Top 15 órgãos por vagas em aberto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d9488" w:sz="18" w:space="8"/>
        </w:pBdr>
        <w:spacing w:after="200"/>
        <w:ind w:left="160"/>
      </w:pPr>
      <w:r>
        <w:rPr>
          <w:b/>
          <w:bCs/>
          <w:color w:val="0d9488"/>
          <w:sz w:val="21"/>
          <w:szCs w:val="21"/>
        </w:rPr>
        <w:t xml:space="preserve">Interpretação. </w:t>
      </w:r>
      <w:r>
        <w:rPr>
          <w:sz w:val="21"/>
          <w:szCs w:val="21"/>
        </w:rPr>
        <w:t xml:space="preserve">Quatro órgãos — Ministério da Saúde (33.835), MEC (28.112), Ministério da Fazenda (28.098) e INSS (24.532) — destacam-se muito acima dos demais. O déficit federal não é uniforme: ele é institucionalmente concentrado. Para a tomada de decisão, isso significa que o calendário de concursos tem maior impacto se priorizar esse núcleo de órgãos.</w:t>
      </w:r>
    </w:p>
    <w:p>
      <w:pPr>
        <w:pStyle w:val="Heading2"/>
      </w:pPr>
      <w:r>
        <w:t xml:space="preserve">Gráfico 2 — Composição das vacâncias por causa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d9488" w:sz="18" w:space="8"/>
        </w:pBdr>
        <w:spacing w:after="200"/>
        <w:ind w:left="160"/>
      </w:pPr>
      <w:r>
        <w:rPr>
          <w:b/>
          <w:bCs/>
          <w:color w:val="0d9488"/>
          <w:sz w:val="21"/>
          <w:szCs w:val="21"/>
        </w:rPr>
        <w:t xml:space="preserve">Interpretação. </w:t>
      </w:r>
      <w:r>
        <w:rPr>
          <w:sz w:val="21"/>
          <w:szCs w:val="21"/>
        </w:rPr>
        <w:t xml:space="preserve">A aposentadoria responde por 76,7% de todas as vacâncias do mês (214.829 de 280.125). As demais causas — posse em cargo inacumulável, exoneração e falecimento — são marginais em comparação. A leitura é direta: a reposição de pessoal é, em essência, um problema de transição demográfica, e não de rotatividade voluntária. Políticas baseadas em projeção de aposentadorias tendem a ser mais eficazes que modelos de turnover.</w:t>
      </w:r>
    </w:p>
    <w:p>
      <w:pPr>
        <w:pStyle w:val="Heading2"/>
      </w:pPr>
      <w:r>
        <w:t xml:space="preserve">Gráfico 3 — Taxa de ocupação: NS vs NI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d9488" w:sz="18" w:space="8"/>
        </w:pBdr>
        <w:spacing w:after="200"/>
        <w:ind w:left="160"/>
      </w:pPr>
      <w:r>
        <w:rPr>
          <w:b/>
          <w:bCs/>
          <w:color w:val="0d9488"/>
          <w:sz w:val="21"/>
          <w:szCs w:val="21"/>
        </w:rPr>
        <w:t xml:space="preserve">Interpretação. </w:t>
      </w:r>
      <w:r>
        <w:rPr>
          <w:sz w:val="21"/>
          <w:szCs w:val="21"/>
        </w:rPr>
        <w:t xml:space="preserve">Cargos de Nível Superior têm ocupação de 68,6%, contra 62,4% nos de Nível Intermediário — ambos abaixo da média federal de 66,9%. A diferença existe mas é moderada: o déficit atinge os dois níveis. O NS está ligeiramente mais provido, o que sugere maior pressão de reposição na base intermediária da carreira.</w:t>
      </w:r>
    </w:p>
    <w:p>
      <w:pPr>
        <w:pStyle w:val="Heading2"/>
      </w:pPr>
      <w:r>
        <w:t xml:space="preserve">Gráfico 4 — Concentração de vagas por órgão (Pareto)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d9488" w:sz="18" w:space="8"/>
        </w:pBdr>
        <w:spacing w:after="200"/>
        <w:ind w:left="160"/>
      </w:pPr>
      <w:r>
        <w:rPr>
          <w:b/>
          <w:bCs/>
          <w:color w:val="0d9488"/>
          <w:sz w:val="21"/>
          <w:szCs w:val="21"/>
        </w:rPr>
        <w:t xml:space="preserve">Interpretação. </w:t>
      </w:r>
      <w:r>
        <w:rPr>
          <w:sz w:val="21"/>
          <w:szCs w:val="21"/>
        </w:rPr>
        <w:t xml:space="preserve">Apenas os quatro maiores órgãos concentram cerca de 49% de todas as vagas em aberto, e vinte órgãos somam aproximadamente 78%. Confirma-se a concentração: a maior parte do déficit federal está em um número pequeno de instituições. Esse é o complemento do paradoxo observado no PM3 — embora a maioria dos cargos individuais esteja completa, o volume de vagas se acumula em poucos órgãos de grande porte.</w:t>
      </w:r>
    </w:p>
    <w:p>
      <w:pPr>
        <w:pStyle w:val="Heading2"/>
      </w:pPr>
      <w:r>
        <w:t xml:space="preserve">Gráfico 5 — Distribuição de cargos por faixa de ocupação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d9488" w:sz="18" w:space="8"/>
        </w:pBdr>
        <w:spacing w:after="200"/>
        <w:ind w:left="160"/>
      </w:pPr>
      <w:r>
        <w:rPr>
          <w:b/>
          <w:bCs/>
          <w:color w:val="0d9488"/>
          <w:sz w:val="21"/>
          <w:szCs w:val="21"/>
        </w:rPr>
        <w:t xml:space="preserve">Interpretação. </w:t>
      </w:r>
      <w:r>
        <w:rPr>
          <w:sz w:val="21"/>
          <w:szCs w:val="21"/>
        </w:rPr>
        <w:t xml:space="preserve">9.750 dos 12.769 cargos estão na faixa Completa (90-100%), mas 1.539 estão em situação Crítica (abaixo de 40%). A maioria dos cargos individuais aparenta saúde, o que explica por que a taxa média individual (85%) é muito maior que a taxa agregada do governo (66,9%): poucos cargos grandes e muito vagos puxam o total para baixo. Um painel ingênuo que mostrasse só a média individual contaria a história errada.</w:t>
      </w:r>
    </w:p>
    <w:p>
      <w:pPr>
        <w:pStyle w:val="Heading2"/>
      </w:pPr>
      <w:r>
        <w:t xml:space="preserve">Gráfico 6 — Cargos por porte × situação de extinção</w:t>
      </w:r>
    </w:p>
    <w:p>
      <w:pPr>
        <w:spacing w:after="80" w:before="8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d9488" w:sz="18" w:space="8"/>
        </w:pBdr>
        <w:spacing w:after="200"/>
        <w:ind w:left="160"/>
      </w:pPr>
      <w:r>
        <w:rPr>
          <w:b/>
          <w:bCs/>
          <w:color w:val="0d9488"/>
          <w:sz w:val="21"/>
          <w:szCs w:val="21"/>
        </w:rPr>
        <w:t xml:space="preserve">Interpretação. </w:t>
      </w:r>
      <w:r>
        <w:rPr>
          <w:sz w:val="21"/>
          <w:szCs w:val="21"/>
        </w:rPr>
        <w:t xml:space="preserve">A extinção concentra-se nos cargos de menor porte: entre os Micro (1-2 servidores), 2.170 dos 5.558 estão em extinção, enquanto entre os Mega (&gt;500) praticamente nenhum está. Faz sentido administrativo — cargos pequenos e residuais são os candidatos naturais a serem descontinuados, ao passo que os grandes cargos institucionais são estruturais e permanecem ativos.</w:t>
      </w:r>
    </w:p>
    <w:p>
      <w:pPr>
        <w:pBdr>
          <w:top w:val="single" w:color="0d9488" w:sz="6" w:space="6"/>
        </w:pBdr>
        <w:spacing w:before="240"/>
      </w:pPr>
      <w:r>
        <w:rPr>
          <w:i/>
          <w:iCs/>
          <w:color w:val="475569"/>
          <w:sz w:val="16"/>
          <w:szCs w:val="16"/>
        </w:rPr>
        <w:t xml:space="preserve">Fonte dos dados: Portal Brasileiro de Dados Abertos (dados.gov.br) — SEGES/MGI, competência 03/2026. Dataset tratado no PM3.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d948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17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cde80c821dea05d33160c891e0cf6b97dd6454.png"/><Relationship Id="rId8" Type="http://schemas.openxmlformats.org/officeDocument/2006/relationships/image" Target="media/216124994d0dd07e60e4164adc83fb08124ca8d0.png"/><Relationship Id="rId9" Type="http://schemas.openxmlformats.org/officeDocument/2006/relationships/image" Target="media/61392430f521083c48898eb03f7332fd817a3e11.png"/><Relationship Id="rId10" Type="http://schemas.openxmlformats.org/officeDocument/2006/relationships/image" Target="media/15e3e36fae326c667cd8bd1515456bb65eaa1bbf.png"/><Relationship Id="rId11" Type="http://schemas.openxmlformats.org/officeDocument/2006/relationships/image" Target="media/1faab9d999c37cfb09ce5ca4b1356d81fec2a114.png"/><Relationship Id="rId12" Type="http://schemas.openxmlformats.org/officeDocument/2006/relationships/image" Target="media/38e4ee1815bb3502a312e375e5ce7d59984b4b6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2026-06-17T23:17:51.963Z</dcterms:created>
  <dcterms:modified xsi:type="dcterms:W3CDTF">2026-06-17T23:17:51.975Z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