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900"/>
        <w:jc w:val="center"/>
      </w:pPr>
      <w:r>
        <w:rPr>
          <w:b/>
          <w:bCs/>
          <w:color w:val="1E40AF"/>
          <w:sz w:val="30"/>
          <w:szCs w:val="30"/>
        </w:rPr>
        <w:t xml:space="preserve">PROJETO MENSAL 4</w:t>
      </w:r>
    </w:p>
    <w:p>
      <w:pPr>
        <w:spacing w:before="120"/>
        <w:jc w:val="center"/>
      </w:pPr>
      <w:r>
        <w:rPr>
          <w:color w:val="6B7280"/>
          <w:sz w:val="26"/>
          <w:szCs w:val="26"/>
        </w:rPr>
        <w:t xml:space="preserve">Visualização de Dados e Dashboard</w:t>
      </w:r>
    </w:p>
    <w:p>
      <w:pPr>
        <w:spacing w:before="760"/>
        <w:jc w:val="center"/>
      </w:pPr>
      <w:r>
        <w:rPr>
          <w:b/>
          <w:bCs/>
          <w:color w:val="1F2937"/>
          <w:sz w:val="44"/>
          <w:szCs w:val="44"/>
        </w:rPr>
        <w:t xml:space="preserve">Cargos Vagos e Vacâncias do</w:t>
      </w:r>
    </w:p>
    <w:p>
      <w:pPr>
        <w:jc w:val="center"/>
      </w:pPr>
      <w:r>
        <w:rPr>
          <w:b/>
          <w:bCs/>
          <w:color w:val="1F2937"/>
          <w:sz w:val="44"/>
          <w:szCs w:val="44"/>
        </w:rPr>
        <w:t xml:space="preserve">Executivo Federal Civil</w:t>
      </w:r>
    </w:p>
    <w:p>
      <w:pPr>
        <w:spacing w:before="320"/>
        <w:jc w:val="center"/>
      </w:pPr>
      <w:r>
        <w:rPr>
          <w:i/>
          <w:iCs/>
          <w:color w:val="6B7280"/>
          <w:sz w:val="30"/>
          <w:szCs w:val="30"/>
        </w:rPr>
        <w:t xml:space="preserve">Relatório Final</w:t>
      </w:r>
    </w:p>
    <w:p>
      <w:pPr>
        <w:spacing w:before="920"/>
        <w:jc w:val="center"/>
      </w:pPr>
      <w:r>
        <w:rPr>
          <w:sz w:val="22"/>
          <w:szCs w:val="22"/>
        </w:rPr>
        <w:t xml:space="preserve">Big Data Analytics · Business Intelligence · Data Mining</w:t>
      </w:r>
    </w:p>
    <w:p>
      <w:pPr>
        <w:spacing w:before="1200"/>
        <w:jc w:val="center"/>
      </w:pPr>
      <w:r>
        <w:rPr>
          <w:b/>
          <w:bCs/>
          <w:color w:val="1E3A8A"/>
          <w:sz w:val="24"/>
          <w:szCs w:val="24"/>
        </w:rPr>
        <w:t xml:space="preserve">Grupo</w:t>
      </w:r>
    </w:p>
    <w:p>
      <w:pPr>
        <w:spacing w:before="90"/>
        <w:jc w:val="center"/>
      </w:pPr>
      <w:r>
        <w:rPr>
          <w:sz w:val="24"/>
          <w:szCs w:val="24"/>
        </w:rPr>
        <w:t xml:space="preserve">Heron Felipe Juvenil Divino</w:t>
      </w:r>
    </w:p>
    <w:p>
      <w:pPr>
        <w:jc w:val="center"/>
      </w:pPr>
      <w:r>
        <w:rPr>
          <w:sz w:val="24"/>
          <w:szCs w:val="24"/>
        </w:rPr>
        <w:t xml:space="preserve">Jihad Riad Ghozayel</w:t>
      </w:r>
    </w:p>
    <w:p>
      <w:pPr>
        <w:jc w:val="center"/>
      </w:pPr>
      <w:r>
        <w:rPr>
          <w:sz w:val="24"/>
          <w:szCs w:val="24"/>
        </w:rPr>
        <w:t xml:space="preserve">Nicolas Gabriel Correa Martão</w:t>
      </w:r>
    </w:p>
    <w:p>
      <w:pPr>
        <w:spacing w:before="980"/>
        <w:jc w:val="center"/>
      </w:pPr>
      <w:r>
        <w:rPr>
          <w:color w:val="6B7280"/>
          <w:sz w:val="19"/>
          <w:szCs w:val="19"/>
        </w:rPr>
        <w:t xml:space="preserve">Fonte: SEGES/MGI — Portal Brasileiro de Dados Abertos (dados.gov.br) · competência 03/2026</w:t>
      </w:r>
    </w:p>
    <w:p>
      <w:pPr>
        <w:spacing w:before="60"/>
        <w:jc w:val="center"/>
      </w:pPr>
      <w:r>
        <w:rPr>
          <w:color w:val="1E40AF"/>
          <w:sz w:val="19"/>
          <w:szCs w:val="19"/>
        </w:rPr>
        <w:t xml:space="preserve">github.com/devheron/CargosVacanciasEF</w:t>
      </w:r>
    </w:p>
    <w:p>
      <w:r>
        <w:br w:type="page"/>
      </w:r>
    </w:p>
    <w:p>
      <w:pPr>
        <w:pStyle w:val="Heading1"/>
        <w:jc w:val="center"/>
      </w:pPr>
      <w:r>
        <w:t xml:space="preserve">Sumário</w:t>
      </w:r>
    </w:p>
    <w:p>
      <w:pPr>
        <w:spacing w:after="120"/>
      </w:pPr>
    </w:p>
    <w:p>
      <w:pPr>
        <w:tabs>
          <w:tab w:val="right" w:pos="9360" w:leader="dot"/>
        </w:tabs>
        <w:spacing w:after="120" w:line="300"/>
      </w:pPr>
      <w:r>
        <w:rPr>
          <w:b w:val="false"/>
          <w:bCs w:val="false"/>
          <w:color w:val="1F2937"/>
          <w:sz w:val="24"/>
          <w:szCs w:val="24"/>
        </w:rPr>
        <w:t xml:space="preserve">Introdução</w:t>
      </w:r>
      <w:r>
        <w:rPr>
          <w:b w:val="false"/>
          <w:bCs w:val="false"/>
          <w:color w:val="1F2937"/>
          <w:sz w:val="24"/>
          <w:szCs w:val="24"/>
        </w:rPr>
        <w:t xml:space="preserve">	3</w:t>
      </w:r>
    </w:p>
    <w:p>
      <w:pPr>
        <w:tabs>
          <w:tab w:val="right" w:pos="9360" w:leader="dot"/>
        </w:tabs>
        <w:spacing w:after="120" w:line="300"/>
      </w:pPr>
      <w:r>
        <w:rPr>
          <w:b w:val="false"/>
          <w:bCs w:val="false"/>
          <w:color w:val="1F2937"/>
          <w:sz w:val="24"/>
          <w:szCs w:val="24"/>
        </w:rPr>
        <w:t xml:space="preserve">Tema da base</w:t>
      </w:r>
      <w:r>
        <w:rPr>
          <w:b w:val="false"/>
          <w:bCs w:val="false"/>
          <w:color w:val="1F2937"/>
          <w:sz w:val="24"/>
          <w:szCs w:val="24"/>
        </w:rPr>
        <w:t xml:space="preserve">	3</w:t>
      </w:r>
    </w:p>
    <w:p>
      <w:pPr>
        <w:tabs>
          <w:tab w:val="right" w:pos="9360" w:leader="dot"/>
        </w:tabs>
        <w:spacing w:after="120" w:line="300"/>
      </w:pPr>
      <w:r>
        <w:rPr>
          <w:b w:val="false"/>
          <w:bCs w:val="false"/>
          <w:color w:val="1F2937"/>
          <w:sz w:val="24"/>
          <w:szCs w:val="24"/>
        </w:rPr>
        <w:t xml:space="preserve">Fonte dos dados</w:t>
      </w:r>
      <w:r>
        <w:rPr>
          <w:b w:val="false"/>
          <w:bCs w:val="false"/>
          <w:color w:val="1F2937"/>
          <w:sz w:val="24"/>
          <w:szCs w:val="24"/>
        </w:rPr>
        <w:t xml:space="preserve">	4</w:t>
      </w:r>
    </w:p>
    <w:p>
      <w:pPr>
        <w:tabs>
          <w:tab w:val="right" w:pos="9360" w:leader="dot"/>
        </w:tabs>
        <w:spacing w:after="120" w:line="300"/>
      </w:pPr>
      <w:r>
        <w:rPr>
          <w:b w:val="false"/>
          <w:bCs w:val="false"/>
          <w:color w:val="1F2937"/>
          <w:sz w:val="24"/>
          <w:szCs w:val="24"/>
        </w:rPr>
        <w:t xml:space="preserve">Relação com o PM3</w:t>
      </w:r>
      <w:r>
        <w:rPr>
          <w:b w:val="false"/>
          <w:bCs w:val="false"/>
          <w:color w:val="1F2937"/>
          <w:sz w:val="24"/>
          <w:szCs w:val="24"/>
        </w:rPr>
        <w:t xml:space="preserve">	4</w:t>
      </w:r>
    </w:p>
    <w:p>
      <w:pPr>
        <w:tabs>
          <w:tab w:val="right" w:pos="9360" w:leader="dot"/>
        </w:tabs>
        <w:spacing w:after="120" w:line="300"/>
      </w:pPr>
      <w:r>
        <w:rPr>
          <w:b w:val="false"/>
          <w:bCs w:val="false"/>
          <w:color w:val="1F2937"/>
          <w:sz w:val="24"/>
          <w:szCs w:val="24"/>
        </w:rPr>
        <w:t xml:space="preserve">Objetivo da análise</w:t>
      </w:r>
      <w:r>
        <w:rPr>
          <w:b w:val="false"/>
          <w:bCs w:val="false"/>
          <w:color w:val="1F2937"/>
          <w:sz w:val="24"/>
          <w:szCs w:val="24"/>
        </w:rPr>
        <w:t xml:space="preserve">	5</w:t>
      </w:r>
    </w:p>
    <w:p>
      <w:pPr>
        <w:tabs>
          <w:tab w:val="right" w:pos="9360" w:leader="dot"/>
        </w:tabs>
        <w:spacing w:after="120" w:line="300"/>
      </w:pPr>
      <w:r>
        <w:rPr>
          <w:b w:val="false"/>
          <w:bCs w:val="false"/>
          <w:color w:val="1F2937"/>
          <w:sz w:val="24"/>
          <w:szCs w:val="24"/>
        </w:rPr>
        <w:t xml:space="preserve">Perguntas analíticas</w:t>
      </w:r>
      <w:r>
        <w:rPr>
          <w:b w:val="false"/>
          <w:bCs w:val="false"/>
          <w:color w:val="1F2937"/>
          <w:sz w:val="24"/>
          <w:szCs w:val="24"/>
        </w:rPr>
        <w:t xml:space="preserve">	5</w:t>
      </w:r>
    </w:p>
    <w:p>
      <w:pPr>
        <w:tabs>
          <w:tab w:val="right" w:pos="9360" w:leader="dot"/>
        </w:tabs>
        <w:spacing w:after="120" w:line="300"/>
      </w:pPr>
      <w:r>
        <w:rPr>
          <w:b w:val="false"/>
          <w:bCs w:val="false"/>
          <w:color w:val="1F2937"/>
          <w:sz w:val="24"/>
          <w:szCs w:val="24"/>
        </w:rPr>
        <w:t xml:space="preserve">Indicadores utilizados</w:t>
      </w:r>
      <w:r>
        <w:rPr>
          <w:b w:val="false"/>
          <w:bCs w:val="false"/>
          <w:color w:val="1F2937"/>
          <w:sz w:val="24"/>
          <w:szCs w:val="24"/>
        </w:rPr>
        <w:t xml:space="preserve">	7</w:t>
      </w:r>
    </w:p>
    <w:p>
      <w:pPr>
        <w:tabs>
          <w:tab w:val="right" w:pos="9360" w:leader="dot"/>
        </w:tabs>
        <w:spacing w:after="120" w:line="300"/>
      </w:pPr>
      <w:r>
        <w:rPr>
          <w:b w:val="false"/>
          <w:bCs w:val="false"/>
          <w:color w:val="1F2937"/>
          <w:sz w:val="24"/>
          <w:szCs w:val="24"/>
        </w:rPr>
        <w:t xml:space="preserve">Gráficos planejados</w:t>
      </w:r>
      <w:r>
        <w:rPr>
          <w:b w:val="false"/>
          <w:bCs w:val="false"/>
          <w:color w:val="1F2937"/>
          <w:sz w:val="24"/>
          <w:szCs w:val="24"/>
        </w:rPr>
        <w:t xml:space="preserve">	8</w:t>
      </w:r>
    </w:p>
    <w:p>
      <w:pPr>
        <w:tabs>
          <w:tab w:val="right" w:pos="9360" w:leader="dot"/>
        </w:tabs>
        <w:spacing w:after="120" w:line="300"/>
      </w:pPr>
      <w:r>
        <w:rPr>
          <w:b w:val="false"/>
          <w:bCs w:val="false"/>
          <w:color w:val="1F2937"/>
          <w:sz w:val="24"/>
          <w:szCs w:val="24"/>
        </w:rPr>
        <w:t xml:space="preserve">Visualizações construídas</w:t>
      </w:r>
      <w:r>
        <w:rPr>
          <w:b w:val="false"/>
          <w:bCs w:val="false"/>
          <w:color w:val="1F2937"/>
          <w:sz w:val="24"/>
          <w:szCs w:val="24"/>
        </w:rPr>
        <w:t xml:space="preserve">	11</w:t>
      </w:r>
    </w:p>
    <w:p>
      <w:pPr>
        <w:tabs>
          <w:tab w:val="right" w:pos="9360" w:leader="dot"/>
        </w:tabs>
        <w:spacing w:after="120" w:line="300"/>
      </w:pPr>
      <w:r>
        <w:rPr>
          <w:b w:val="false"/>
          <w:bCs w:val="false"/>
          <w:color w:val="1F2937"/>
          <w:sz w:val="24"/>
          <w:szCs w:val="24"/>
        </w:rPr>
        <w:t xml:space="preserve">Interpretação dos resultados</w:t>
      </w:r>
      <w:r>
        <w:rPr>
          <w:b w:val="false"/>
          <w:bCs w:val="false"/>
          <w:color w:val="1F2937"/>
          <w:sz w:val="24"/>
          <w:szCs w:val="24"/>
        </w:rPr>
        <w:t xml:space="preserve">	15</w:t>
      </w:r>
    </w:p>
    <w:p>
      <w:pPr>
        <w:tabs>
          <w:tab w:val="right" w:pos="9360" w:leader="dot"/>
        </w:tabs>
        <w:spacing w:after="120" w:line="300"/>
      </w:pPr>
      <w:r>
        <w:rPr>
          <w:b w:val="false"/>
          <w:bCs w:val="false"/>
          <w:color w:val="1F2937"/>
          <w:sz w:val="24"/>
          <w:szCs w:val="24"/>
        </w:rPr>
        <w:t xml:space="preserve">Descrição do dashboard</w:t>
      </w:r>
      <w:r>
        <w:rPr>
          <w:b w:val="false"/>
          <w:bCs w:val="false"/>
          <w:color w:val="1F2937"/>
          <w:sz w:val="24"/>
          <w:szCs w:val="24"/>
        </w:rPr>
        <w:t xml:space="preserve">	17</w:t>
      </w:r>
    </w:p>
    <w:p>
      <w:pPr>
        <w:tabs>
          <w:tab w:val="right" w:pos="9360" w:leader="dot"/>
        </w:tabs>
        <w:spacing w:after="120" w:line="300"/>
      </w:pPr>
      <w:r>
        <w:rPr>
          <w:b w:val="false"/>
          <w:bCs w:val="false"/>
          <w:color w:val="1F2937"/>
          <w:sz w:val="24"/>
          <w:szCs w:val="24"/>
        </w:rPr>
        <w:t xml:space="preserve">Conclusão</w:t>
      </w:r>
      <w:r>
        <w:rPr>
          <w:b w:val="false"/>
          <w:bCs w:val="false"/>
          <w:color w:val="1F2937"/>
          <w:sz w:val="24"/>
          <w:szCs w:val="24"/>
        </w:rPr>
        <w:t xml:space="preserve">	19</w:t>
      </w:r>
    </w:p>
    <w:p>
      <w:pPr>
        <w:tabs>
          <w:tab w:val="right" w:pos="9360" w:leader="dot"/>
        </w:tabs>
        <w:spacing w:after="120" w:line="300"/>
      </w:pPr>
      <w:r>
        <w:rPr>
          <w:b w:val="false"/>
          <w:bCs w:val="false"/>
          <w:color w:val="1F2937"/>
          <w:sz w:val="24"/>
          <w:szCs w:val="24"/>
        </w:rPr>
        <w:t xml:space="preserve">Referências</w:t>
      </w:r>
      <w:r>
        <w:rPr>
          <w:b w:val="false"/>
          <w:bCs w:val="false"/>
          <w:color w:val="1F2937"/>
          <w:sz w:val="24"/>
          <w:szCs w:val="24"/>
        </w:rPr>
        <w:t xml:space="preserve">	20</w:t>
      </w:r>
    </w:p>
    <w:p>
      <w:r>
        <w:br w:type="page"/>
      </w:r>
    </w:p>
    <w:p>
      <w:pPr>
        <w:pStyle w:val="Heading1"/>
        <w:jc w:val="center"/>
      </w:pPr>
      <w:r>
        <w:t xml:space="preserve">Introdução</w:t>
      </w:r>
    </w:p>
    <w:p>
      <w:pPr>
        <w:spacing w:after="180" w:line="320"/>
        <w:jc w:val="both"/>
      </w:pPr>
      <w:r>
        <w:rPr>
          <w:sz w:val="26"/>
          <w:szCs w:val="26"/>
        </w:rPr>
        <w:t xml:space="preserve">Este relatório apresenta o Projeto Mensal 4 (PM4), cujo objetivo é transformar uma base de dados pública já tratada em visualizações, indicadores e um dashboard interativo que apoiem a tomada de decisão. Enquanto o projeto anterior (PM3) concentrou-se na preparação dos dados — limpeza, padronização e criação de variáveis —, este projeto concentra-se na etapa seguinte do ciclo de Business Intelligence: a análise visual. O princípio que guiou todo o trabalho foi simples e rigoroso: cada gráfico precisa responder a uma pergunta concreta de decisão. Gráficos que não respondem a nada são apenas enfeite e foram deliberadamente descartados.</w:t>
      </w:r>
    </w:p>
    <w:p>
      <w:pPr>
        <w:spacing w:after="180" w:line="320"/>
        <w:jc w:val="both"/>
      </w:pPr>
      <w:r>
        <w:rPr>
          <w:sz w:val="26"/>
          <w:szCs w:val="26"/>
        </w:rPr>
        <w:t xml:space="preserve">O documento percorre, em sequência, o tema e a fonte da base, a relação com o PM3, o objetivo da análise, as perguntas analíticas e os indicadores escolhidos, o planejamento e a construção das visualizações com suas interpretações, a descrição do dashboard final e, por fim, a conclusão. Todos os artefatos produzidos — a base tratada, o dashboard em HTML, o aplicativo em Streamlit e este relatório — estão reunidos no repositório do grupo no GitHub, de modo que qualquer pessoa possa reproduzir e explorar a análise.</w:t>
      </w:r>
    </w:p>
    <w:p>
      <w:pPr>
        <w:pStyle w:val="Heading1"/>
        <w:jc w:val="center"/>
      </w:pPr>
      <w:r>
        <w:t xml:space="preserve">Tema da base</w:t>
      </w:r>
    </w:p>
    <w:p>
      <w:pPr>
        <w:spacing w:after="180" w:line="320"/>
        <w:jc w:val="both"/>
      </w:pPr>
      <w:r>
        <w:rPr>
          <w:sz w:val="26"/>
          <w:szCs w:val="26"/>
        </w:rPr>
        <w:t xml:space="preserve">A base trata da gestão quantitativa de pessoas no Poder Executivo Federal Civil brasileiro. Ela é a fotografia mensal do quadro de pessoal de cada órgão federal na competência de março de 2026: quantos cargos foram aprovados em lei, quantos estão ocupados, quantos estão vagos e o fluxo de saída de servidores no mês, decomposto em sete causas distintas. A unidade de análise é a combinação órgão × cargo — cada linha representa uma carreira específica dentro de um órgão específico, o que permite descer ao detalhe de onde exatamente o pessoal falta.</w:t>
      </w:r>
    </w:p>
    <w:p>
      <w:pPr>
        <w:spacing w:after="180" w:line="320"/>
        <w:jc w:val="both"/>
      </w:pPr>
      <w:r>
        <w:rPr>
          <w:sz w:val="26"/>
          <w:szCs w:val="26"/>
        </w:rPr>
        <w:t xml:space="preserve">O problema que a base ajuda a entender é o </w:t>
      </w:r>
      <w:r>
        <w:rPr>
          <w:b/>
          <w:bCs/>
          <w:sz w:val="26"/>
          <w:szCs w:val="26"/>
        </w:rPr>
        <w:t xml:space="preserve">déficit de pessoal do governo federal e suas causas</w:t>
      </w:r>
      <w:r>
        <w:rPr>
          <w:sz w:val="26"/>
          <w:szCs w:val="26"/>
        </w:rPr>
        <w:t xml:space="preserve">. Com ela é possível identificar onde faltam servidores, qual o tamanho real do déficit e por que os cargos vagam, distinguindo se a saída decorre de rotatividade (exoneração, demissão) ou de transição demográfica (aposentadoria). Esse entendimento é insumo direto para planejar concursos e dimensionar a folha de pagamento da União, que é uma das maiores despesas do Orçamento Federal.</w:t>
      </w:r>
    </w:p>
    <w:p>
      <w:pPr>
        <w:pStyle w:val="Heading1"/>
        <w:jc w:val="center"/>
      </w:pPr>
      <w:r>
        <w:t xml:space="preserve">Fonte dos dados</w:t>
      </w:r>
    </w:p>
    <w:p>
      <w:pPr>
        <w:spacing w:after="180" w:line="320"/>
        <w:jc w:val="both"/>
      </w:pPr>
      <w:r>
        <w:rPr>
          <w:sz w:val="26"/>
          <w:szCs w:val="26"/>
        </w:rPr>
        <w:t xml:space="preserve">Os dados são oficiais e abertos, publicados pela Secretaria de Gestão e Inovação do Ministério da Gestão e da Inovação em Serviços Públicos (SEGES/MGI) no Portal Brasileiro de Dados Abertos (dados.gov.br), sob licença Creative Commons CC BY 4.0. O conjunto utilizado refere-se à competência de março de 2026, na granularidade órgão × cargo, e foi o ponto de partida tanto do PM3 quanto deste projeto.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Conjunto</w:t>
            </w:r>
          </w:p>
        </w:tc>
        <w:tc>
          <w:tcPr>
            <w:tcW w:type="dxa" w:w="61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Gestão de Pessoas do Executivo Federal — Cargos Vagos e Vacâncias</w:t>
            </w:r>
          </w:p>
        </w:tc>
      </w:tr>
      <w:tr>
        <w:tc>
          <w:tcPr>
            <w:tcW w:type="dxa" w:w="32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Órgão produtor</w:t>
            </w:r>
          </w:p>
        </w:tc>
        <w:tc>
          <w:tcPr>
            <w:tcW w:type="dxa" w:w="61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SEGES/MGI — Ministério da Gestão e da Inovação em Serviços Públicos</w:t>
            </w:r>
          </w:p>
        </w:tc>
      </w:tr>
      <w:tr>
        <w:tc>
          <w:tcPr>
            <w:tcW w:type="dxa" w:w="32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Portal</w:t>
            </w:r>
          </w:p>
        </w:tc>
        <w:tc>
          <w:tcPr>
            <w:tcW w:type="dxa" w:w="61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dados.gov.br (Portal Brasileiro de Dados Abertos)</w:t>
            </w:r>
          </w:p>
        </w:tc>
      </w:tr>
      <w:tr>
        <w:tc>
          <w:tcPr>
            <w:tcW w:type="dxa" w:w="32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Competência</w:t>
            </w:r>
          </w:p>
        </w:tc>
        <w:tc>
          <w:tcPr>
            <w:tcW w:type="dxa" w:w="61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Março de 2026</w:t>
            </w:r>
          </w:p>
        </w:tc>
      </w:tr>
      <w:tr>
        <w:tc>
          <w:tcPr>
            <w:tcW w:type="dxa" w:w="32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Licença</w:t>
            </w:r>
          </w:p>
        </w:tc>
        <w:tc>
          <w:tcPr>
            <w:tcW w:type="dxa" w:w="61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Creative Commons CC BY 4.0</w:t>
            </w:r>
          </w:p>
        </w:tc>
      </w:tr>
      <w:tr>
        <w:tc>
          <w:tcPr>
            <w:tcW w:type="dxa" w:w="32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Granularidade</w:t>
            </w:r>
          </w:p>
        </w:tc>
        <w:tc>
          <w:tcPr>
            <w:tcW w:type="dxa" w:w="61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Órgão × cargo (12.769 registros)</w:t>
            </w:r>
          </w:p>
        </w:tc>
      </w:tr>
    </w:tbl>
    <w:p>
      <w:pPr>
        <w:pStyle w:val="Heading1"/>
        <w:jc w:val="center"/>
      </w:pPr>
      <w:r>
        <w:t xml:space="preserve">Relação com o PM3</w:t>
      </w:r>
    </w:p>
    <w:p>
      <w:pPr>
        <w:spacing w:after="180" w:line="320"/>
        <w:jc w:val="both"/>
      </w:pPr>
      <w:r>
        <w:rPr>
          <w:sz w:val="26"/>
          <w:szCs w:val="26"/>
        </w:rPr>
        <w:t xml:space="preserve">Este projeto utiliza diretamente o produto do PM3. Naquele projeto, partimos do dado bruto — que chegou sujo, com 1.618 valores nulos, datas armazenadas como número inteiro, códigos perdendo zeros à esquerda, nomes em maiúsculas sem padrão e 1.879 outliers extremos. Catalogamos dez problemas de qualidade, preenchemos os nulos, convertemos tipos, padronizamos os nomes para o formato snake_case e, por decisão de negócio, </w:t>
      </w:r>
      <w:r>
        <w:rPr>
          <w:b/>
          <w:bCs/>
          <w:sz w:val="26"/>
          <w:szCs w:val="26"/>
        </w:rPr>
        <w:t xml:space="preserve">preservamos os outliers com uma flag</w:t>
      </w:r>
      <w:r>
        <w:rPr>
          <w:sz w:val="26"/>
          <w:szCs w:val="26"/>
        </w:rPr>
        <w:t xml:space="preserve"> em vez de removê-los, pois representam cargos institucionais reais (como INSS e Polícia Federal), e não erros de digitação.</w:t>
      </w:r>
    </w:p>
    <w:p>
      <w:pPr>
        <w:spacing w:after="180" w:line="320"/>
        <w:jc w:val="both"/>
      </w:pPr>
      <w:r>
        <w:rPr>
          <w:sz w:val="26"/>
          <w:szCs w:val="26"/>
        </w:rPr>
        <w:t xml:space="preserve">Em seguida criamos dezessete novas variáveis — taxa de ocupação, déficit nominal, total de vacâncias, porte do cargo, faixa de ocupação e versões normalizadas, entre outras — saindo de 20 para 37 colunas sem perder um único registro. O resultado foi um dataset pronto para BI, Data Mining e análise exploratória. É exatamente esse dataset final tratado que alimenta todas as visualizações e o dashboard do PM4: cada número apresentado aqui nasce de uma coluna criada ou tratada no PM3.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Colunas</w:t>
            </w:r>
          </w:p>
        </w:tc>
        <w:tc>
          <w:tcPr>
            <w:tcW w:type="dxa" w:w="61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20 → 37 (17 variáveis criadas)</w:t>
            </w:r>
          </w:p>
        </w:tc>
      </w:tr>
      <w:tr>
        <w:tc>
          <w:tcPr>
            <w:tcW w:type="dxa" w:w="32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Nulos tratados</w:t>
            </w:r>
          </w:p>
        </w:tc>
        <w:tc>
          <w:tcPr>
            <w:tcW w:type="dxa" w:w="61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1.618</w:t>
            </w:r>
          </w:p>
        </w:tc>
      </w:tr>
      <w:tr>
        <w:tc>
          <w:tcPr>
            <w:tcW w:type="dxa" w:w="32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Problemas de qualidade catalogados</w:t>
            </w:r>
          </w:p>
        </w:tc>
        <w:tc>
          <w:tcPr>
            <w:tcW w:type="dxa" w:w="61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Outliers preservados com flag</w:t>
            </w:r>
          </w:p>
        </w:tc>
        <w:tc>
          <w:tcPr>
            <w:tcW w:type="dxa" w:w="61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1.879</w:t>
            </w:r>
          </w:p>
        </w:tc>
      </w:tr>
      <w:tr>
        <w:tc>
          <w:tcPr>
            <w:tcW w:type="dxa" w:w="32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Registros perdidos no tratamento</w:t>
            </w:r>
          </w:p>
        </w:tc>
        <w:tc>
          <w:tcPr>
            <w:tcW w:type="dxa" w:w="61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0</w:t>
            </w:r>
          </w:p>
        </w:tc>
      </w:tr>
    </w:tbl>
    <w:p>
      <w:pPr>
        <w:pStyle w:val="Heading1"/>
        <w:jc w:val="center"/>
      </w:pPr>
      <w:r>
        <w:t xml:space="preserve">Objetivo da análise</w:t>
      </w:r>
    </w:p>
    <w:p>
      <w:pPr>
        <w:spacing w:after="180" w:line="320"/>
        <w:jc w:val="both"/>
      </w:pPr>
      <w:r>
        <w:rPr>
          <w:sz w:val="26"/>
          <w:szCs w:val="26"/>
        </w:rPr>
        <w:t xml:space="preserve">O objetivo da análise é tornar visível, a partir do dataset tratado, onde está o déficit de pessoal do Executivo Federal, qual o seu tamanho e por que os cargos vagam — de modo que gestores e órgãos de controle possam priorizar concursos e dimensionar a folha com base em evidência. Em termos práticos, queremos responder com gráficos a um conjunto de questões de decisão: em quais órgãos o déficit se concentra, qual a causa predominante das vacâncias, se o problema é generalizado ou restrito a poucas instituições, quantos cargos estão em estado crítico e onde se concentram os cargos em extinção.</w:t>
      </w:r>
    </w:p>
    <w:p>
      <w:pPr>
        <w:spacing w:after="180" w:line="320"/>
        <w:jc w:val="both"/>
      </w:pPr>
      <w:r>
        <w:rPr>
          <w:sz w:val="26"/>
          <w:szCs w:val="26"/>
        </w:rPr>
        <w:t xml:space="preserve">Quem usa essas informações para decidir: a SEGES/MGI e o Ministério do Planejamento, para autorizar concursos e dimensionar o orçamento de pessoal; os dirigentes de cada órgão, para gerir o próprio quadro; os órgãos de controle, como TCU e CGU, para fiscalizar a alocação de cargos; o Congresso Nacional, para discutir políticas de pessoal; além de sindicatos e pesquisadores que acompanham a evolução do serviço público.</w:t>
      </w:r>
    </w:p>
    <w:p>
      <w:pPr>
        <w:pStyle w:val="Heading1"/>
        <w:jc w:val="center"/>
      </w:pPr>
      <w:r>
        <w:t xml:space="preserve">Perguntas analíticas</w:t>
      </w:r>
    </w:p>
    <w:p>
      <w:pPr>
        <w:spacing w:after="180" w:line="320"/>
        <w:jc w:val="both"/>
      </w:pPr>
      <w:r>
        <w:rPr>
          <w:sz w:val="26"/>
          <w:szCs w:val="26"/>
        </w:rPr>
        <w:t xml:space="preserve">O enunciado pede no mínimo três perguntas; definimos cinco, e cada uma é respondida por um gráfico específico do dashboard. Esta foi a coluna vertebral do projeto: nenhuma visualização foi criada sem uma pergunta de decisão por trás, e cada pergunta está amarrada a um indicador.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1. Quais órgãos concentram mais vagas em aberto?</w:t>
            </w:r>
          </w:p>
        </w:tc>
        <w:tc>
          <w:tcPr>
            <w:tcW w:type="dxa" w:w="51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Respondida pelo Gráfico 1 (Top órgãos). Indicador ligado: déficit nominal (soma de vagas).</w:t>
            </w:r>
          </w:p>
        </w:tc>
      </w:tr>
      <w:tr>
        <w:tc>
          <w:tcPr>
            <w:tcW w:type="dxa" w:w="42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2. Qual o peso de cada causa de vacância?</w:t>
            </w:r>
          </w:p>
        </w:tc>
        <w:tc>
          <w:tcPr>
            <w:tcW w:type="dxa" w:w="51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Respondida pelo Gráfico 2 (vacâncias por causa). Indicador ligado: % de vacâncias por aposentadoria.</w:t>
            </w:r>
          </w:p>
        </w:tc>
      </w:tr>
      <w:tr>
        <w:tc>
          <w:tcPr>
            <w:tcW w:type="dxa" w:w="42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3. O déficit está concentrado em poucos órgãos ou diluído?</w:t>
            </w:r>
          </w:p>
        </w:tc>
        <w:tc>
          <w:tcPr>
            <w:tcW w:type="dxa" w:w="51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Respondida pelo Gráfico 3 (Pareto). Indicador ligado: concentração das vagas (4 órgãos ≈ 49%).</w:t>
            </w:r>
          </w:p>
        </w:tc>
      </w:tr>
      <w:tr>
        <w:tc>
          <w:tcPr>
            <w:tcW w:type="dxa" w:w="42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4. Quantos cargos estão em situação crítica versus completos?</w:t>
            </w:r>
          </w:p>
        </w:tc>
        <w:tc>
          <w:tcPr>
            <w:tcW w:type="dxa" w:w="51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Respondida pelo Gráfico 4 (faixa de ocupação). Indicador ligado: taxa de ocupação (paradoxo: média individual 85% vs. agregada 66,9%).</w:t>
            </w:r>
          </w:p>
        </w:tc>
      </w:tr>
      <w:tr>
        <w:tc>
          <w:tcPr>
            <w:tcW w:type="dxa" w:w="42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5. Os cargos em extinção concentram-se em algum porte específico?</w:t>
            </w:r>
          </w:p>
        </w:tc>
        <w:tc>
          <w:tcPr>
            <w:tcW w:type="dxa" w:w="51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Respondida pelo Gráfico 5 (porte × extinção). Indicador ligado: cargos em extinção com ocupante.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 xml:space="preserve">Indicadores utilizados</w:t>
      </w:r>
    </w:p>
    <w:p>
      <w:pPr>
        <w:spacing w:after="180" w:line="320"/>
        <w:jc w:val="both"/>
      </w:pPr>
      <w:r>
        <w:rPr>
          <w:sz w:val="26"/>
          <w:szCs w:val="26"/>
        </w:rPr>
        <w:t xml:space="preserve">Selecionamos cinco indicadores (KPIs), todos calculados a partir das colunas tratadas no PM3 e exibidos no topo do dashboard. Eles recalculam automaticamente conforme os filtros aplicados, de modo que cada recorte da base tem seus próprios números.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Total de cargos analisados</w:t>
            </w:r>
          </w:p>
        </w:tc>
        <w:tc>
          <w:tcPr>
            <w:tcW w:type="dxa" w:w="61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Número de registros da base (12.769).</w:t>
            </w:r>
          </w:p>
        </w:tc>
      </w:tr>
      <w:tr>
        <w:tc>
          <w:tcPr>
            <w:tcW w:type="dxa" w:w="32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Taxa de ocupação federal</w:t>
            </w:r>
          </w:p>
        </w:tc>
        <w:tc>
          <w:tcPr>
            <w:tcW w:type="dxa" w:w="61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Soma de ocupados dividida pela soma de aprovados, agregada (66,9%).</w:t>
            </w:r>
          </w:p>
        </w:tc>
      </w:tr>
      <w:tr>
        <w:tc>
          <w:tcPr>
            <w:tcW w:type="dxa" w:w="32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Déficit nominal total</w:t>
            </w:r>
          </w:p>
        </w:tc>
        <w:tc>
          <w:tcPr>
            <w:tcW w:type="dxa" w:w="61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Soma das vagas em aberto (232.149).</w:t>
            </w:r>
          </w:p>
        </w:tc>
      </w:tr>
      <w:tr>
        <w:tc>
          <w:tcPr>
            <w:tcW w:type="dxa" w:w="32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% de vacâncias por aposentadoria</w:t>
            </w:r>
          </w:p>
        </w:tc>
        <w:tc>
          <w:tcPr>
            <w:tcW w:type="dxa" w:w="61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Participação da aposentadoria no total de vacâncias do mês (76,7%).</w:t>
            </w:r>
          </w:p>
        </w:tc>
      </w:tr>
      <w:tr>
        <w:tc>
          <w:tcPr>
            <w:tcW w:type="dxa" w:w="32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Cargos em extinção com ocupante</w:t>
            </w:r>
          </w:p>
        </w:tc>
        <w:tc>
          <w:tcPr>
            <w:tcW w:type="dxa" w:w="61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Cargos marcados como em extinção que ainda têm servidores (3.558).</w:t>
            </w:r>
          </w:p>
        </w:tc>
      </w:tr>
    </w:tbl>
    <w:p>
      <w:pPr>
        <w:spacing w:after="120"/>
      </w:pPr>
    </w:p>
    <w:p>
      <w:pPr>
        <w:spacing w:after="60"/>
        <w:jc w:val="center"/>
      </w:pPr>
      <w:r>
        <w:rPr>
          <w:i/>
          <w:iCs/>
          <w:color w:val="6B7280"/>
          <w:sz w:val="20"/>
          <w:szCs w:val="20"/>
        </w:rPr>
        <w:t xml:space="preserve">Faixa de indicadores no topo do dashboard:</w:t>
      </w:r>
    </w:p>
    <w:p>
      <w:pPr>
        <w:spacing w:after="40" w:before="80"/>
        <w:jc w:val="center"/>
      </w:pPr>
      <w:r>
        <w:drawing>
          <wp:inline distT="0" distB="0" distL="0" distR="0">
            <wp:extent cx="5848350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6B7280"/>
          <w:sz w:val="19"/>
          <w:szCs w:val="19"/>
        </w:rPr>
        <w:t xml:space="preserve">Os cinco KPIs do dashboard, exibindo os valores da base completa.</w:t>
      </w:r>
    </w:p>
    <w:p>
      <w:r>
        <w:br w:type="page"/>
      </w:r>
    </w:p>
    <w:p>
      <w:pPr>
        <w:pStyle w:val="Heading1"/>
        <w:jc w:val="center"/>
      </w:pPr>
      <w:r>
        <w:t xml:space="preserve">Gráficos planejados</w:t>
      </w:r>
    </w:p>
    <w:p>
      <w:pPr>
        <w:spacing w:after="180" w:line="320"/>
        <w:jc w:val="both"/>
      </w:pPr>
      <w:r>
        <w:rPr>
          <w:sz w:val="26"/>
          <w:szCs w:val="26"/>
        </w:rPr>
        <w:t xml:space="preserve">Partindo da base tratada no PM3, selecionamos cinco visualizações — exatamente as cinco que compõem o dashboard. Cada uma nasce de uma pergunta analítica concreta e usa colunas específicas do dataset. O critério foi único: o gráfico precisa responder a uma pergunta de decisão. Por opção de leitura, não utilizamos gráfico de pizza em nenhuma visualização; onde a intenção seria comparar partes de um todo, optamos por barras horizontais ordenadas, que permitem comparar magnitudes com mais precisão do que ângulos.</w:t>
      </w:r>
    </w:p>
    <w:p>
      <w:pPr>
        <w:spacing w:after="40"/>
      </w:pPr>
    </w:p>
    <w:p>
      <w:pPr>
        <w:pStyle w:val="Heading2"/>
        <w:jc w:val="center"/>
      </w:pPr>
      <w:r>
        <w:t xml:space="preserve">Gráfico 1 — Top 15 órgãos por vagas em aberto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Barras horizontais</w:t>
            </w:r>
          </w:p>
        </w:tc>
      </w:tr>
      <w:tr>
        <w:tc>
          <w:tcPr>
            <w:tcW w:type="dxa" w:w="28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Colunas</w:t>
            </w:r>
          </w:p>
        </w:tc>
        <w:tc>
          <w:tcPr>
            <w:tcW w:type="dxa" w:w="65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sigla_orgao, qtd_vaga</w:t>
            </w:r>
          </w:p>
        </w:tc>
      </w:tr>
      <w:tr>
        <w:tc>
          <w:tcPr>
            <w:tcW w:type="dxa" w:w="28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Pergunta</w:t>
            </w:r>
          </w:p>
        </w:tc>
        <w:tc>
          <w:tcPr>
            <w:tcW w:type="dxa" w:w="65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Quais órgãos concentram o maior déficit de pessoal?</w:t>
            </w:r>
          </w:p>
        </w:tc>
      </w:tr>
      <w:tr>
        <w:tc>
          <w:tcPr>
            <w:tcW w:type="dxa" w:w="28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Indicador ligado</w:t>
            </w:r>
          </w:p>
        </w:tc>
        <w:tc>
          <w:tcPr>
            <w:tcW w:type="dxa" w:w="65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Déficit nominal (soma de vagas).</w:t>
            </w:r>
          </w:p>
        </w:tc>
      </w:tr>
      <w:tr>
        <w:tc>
          <w:tcPr>
            <w:tcW w:type="dxa" w:w="28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Justificativa</w:t>
            </w:r>
          </w:p>
        </w:tc>
        <w:tc>
          <w:tcPr>
            <w:tcW w:type="dxa" w:w="65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Ranking de categorias com rótulos longos lê-se melhor na horizontal; a ordenação revela a magnitude relativa de cada órgão de forma imediata.</w:t>
            </w:r>
          </w:p>
        </w:tc>
      </w:tr>
    </w:tbl>
    <w:p>
      <w:pPr>
        <w:spacing w:after="180"/>
      </w:pPr>
    </w:p>
    <w:p>
      <w:pPr>
        <w:pStyle w:val="Heading2"/>
        <w:jc w:val="center"/>
      </w:pPr>
      <w:r>
        <w:t xml:space="preserve">Gráfico 2 — Composição das vacâncias por causa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Barras horizontais</w:t>
            </w:r>
          </w:p>
        </w:tc>
      </w:tr>
      <w:tr>
        <w:tc>
          <w:tcPr>
            <w:tcW w:type="dxa" w:w="28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Colunas</w:t>
            </w:r>
          </w:p>
        </w:tc>
        <w:tc>
          <w:tcPr>
            <w:tcW w:type="dxa" w:w="65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vac_aposentadoria, vac_posse_cargo_inac, vac_exoneracao, vac_falecimento, vac_demissao, vac_promocao, vac_readaptacao</w:t>
            </w:r>
          </w:p>
        </w:tc>
      </w:tr>
      <w:tr>
        <w:tc>
          <w:tcPr>
            <w:tcW w:type="dxa" w:w="28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Pergunta</w:t>
            </w:r>
          </w:p>
        </w:tc>
        <w:tc>
          <w:tcPr>
            <w:tcW w:type="dxa" w:w="65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Qual o peso de cada uma das sete causas de saída de servidores?</w:t>
            </w:r>
          </w:p>
        </w:tc>
      </w:tr>
      <w:tr>
        <w:tc>
          <w:tcPr>
            <w:tcW w:type="dxa" w:w="28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Indicador ligado</w:t>
            </w:r>
          </w:p>
        </w:tc>
        <w:tc>
          <w:tcPr>
            <w:tcW w:type="dxa" w:w="65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% de vacâncias por aposentadoria.</w:t>
            </w:r>
          </w:p>
        </w:tc>
      </w:tr>
      <w:tr>
        <w:tc>
          <w:tcPr>
            <w:tcW w:type="dxa" w:w="28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Justificativa</w:t>
            </w:r>
          </w:p>
        </w:tc>
        <w:tc>
          <w:tcPr>
            <w:tcW w:type="dxa" w:w="65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Sete categorias com magnitudes muito diferentes: a barra horizontal ordenada compara valores absolutos com precisão e isola o peso dominante da aposentadoria, sem a distorção de leitura de ângulos de uma pizza.</w:t>
            </w:r>
          </w:p>
        </w:tc>
      </w:tr>
    </w:tbl>
    <w:p>
      <w:pPr>
        <w:spacing w:after="180"/>
      </w:pPr>
    </w:p>
    <w:p>
      <w:pPr>
        <w:pStyle w:val="Heading2"/>
        <w:jc w:val="center"/>
      </w:pPr>
      <w:r>
        <w:t xml:space="preserve">Gráfico 3 — Concentração de vagas por órgão (Pareto)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Pareto (barras + linha de % acumulado)</w:t>
            </w:r>
          </w:p>
        </w:tc>
      </w:tr>
      <w:tr>
        <w:tc>
          <w:tcPr>
            <w:tcW w:type="dxa" w:w="28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Colunas</w:t>
            </w:r>
          </w:p>
        </w:tc>
        <w:tc>
          <w:tcPr>
            <w:tcW w:type="dxa" w:w="65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sigla_orgao, qtd_vaga (e o percentual acumulado)</w:t>
            </w:r>
          </w:p>
        </w:tc>
      </w:tr>
      <w:tr>
        <w:tc>
          <w:tcPr>
            <w:tcW w:type="dxa" w:w="28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Pergunta</w:t>
            </w:r>
          </w:p>
        </w:tc>
        <w:tc>
          <w:tcPr>
            <w:tcW w:type="dxa" w:w="65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O déficit está concentrado em poucos órgãos ou diluído?</w:t>
            </w:r>
          </w:p>
        </w:tc>
      </w:tr>
      <w:tr>
        <w:tc>
          <w:tcPr>
            <w:tcW w:type="dxa" w:w="28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Indicador ligado</w:t>
            </w:r>
          </w:p>
        </w:tc>
        <w:tc>
          <w:tcPr>
            <w:tcW w:type="dxa" w:w="65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Concentração das vagas (4 órgãos ≈ 49%).</w:t>
            </w:r>
          </w:p>
        </w:tc>
      </w:tr>
      <w:tr>
        <w:tc>
          <w:tcPr>
            <w:tcW w:type="dxa" w:w="28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Justificativa</w:t>
            </w:r>
          </w:p>
        </w:tc>
        <w:tc>
          <w:tcPr>
            <w:tcW w:type="dxa" w:w="65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O Pareto é o gráfico canônico de concentração; a linha acumulada mostra quantos órgãos bastam para explicar a maior parte do déficit.</w:t>
            </w:r>
          </w:p>
        </w:tc>
      </w:tr>
    </w:tbl>
    <w:p>
      <w:pPr>
        <w:spacing w:after="180"/>
      </w:pPr>
    </w:p>
    <w:p>
      <w:pPr>
        <w:pStyle w:val="Heading2"/>
        <w:jc w:val="center"/>
      </w:pPr>
      <w:r>
        <w:t xml:space="preserve">Gráfico 4 — Cargos por faixa de ocupação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Colunas (barras verticais)</w:t>
            </w:r>
          </w:p>
        </w:tc>
      </w:tr>
      <w:tr>
        <w:tc>
          <w:tcPr>
            <w:tcW w:type="dxa" w:w="28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Colunas</w:t>
            </w:r>
          </w:p>
        </w:tc>
        <w:tc>
          <w:tcPr>
            <w:tcW w:type="dxa" w:w="65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faixa_taxa_ocupacao</w:t>
            </w:r>
          </w:p>
        </w:tc>
      </w:tr>
      <w:tr>
        <w:tc>
          <w:tcPr>
            <w:tcW w:type="dxa" w:w="28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Pergunta</w:t>
            </w:r>
          </w:p>
        </w:tc>
        <w:tc>
          <w:tcPr>
            <w:tcW w:type="dxa" w:w="65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Quantos cargos estão em situação crítica versus completos?</w:t>
            </w:r>
          </w:p>
        </w:tc>
      </w:tr>
      <w:tr>
        <w:tc>
          <w:tcPr>
            <w:tcW w:type="dxa" w:w="28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Indicador ligado</w:t>
            </w:r>
          </w:p>
        </w:tc>
        <w:tc>
          <w:tcPr>
            <w:tcW w:type="dxa" w:w="65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Taxa de ocupação (paradoxo: média individual 85% vs. agregada 66,9%).</w:t>
            </w:r>
          </w:p>
        </w:tc>
      </w:tr>
      <w:tr>
        <w:tc>
          <w:tcPr>
            <w:tcW w:type="dxa" w:w="28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Justificativa</w:t>
            </w:r>
          </w:p>
        </w:tc>
        <w:tc>
          <w:tcPr>
            <w:tcW w:type="dxa" w:w="65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Categórica ordinal criada no PM3; as colunas mostram a frequência de cada faixa e ajudam a explicar o paradoxo entre média individual e taxa agregada.</w:t>
            </w:r>
          </w:p>
        </w:tc>
      </w:tr>
    </w:tbl>
    <w:p>
      <w:pPr>
        <w:spacing w:after="180"/>
      </w:pPr>
    </w:p>
    <w:p>
      <w:pPr>
        <w:pStyle w:val="Heading2"/>
        <w:jc w:val="center"/>
      </w:pPr>
      <w:r>
        <w:t xml:space="preserve">Gráfico 5 — Cargos por porte × situação de extinção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Barras empilhadas</w:t>
            </w:r>
          </w:p>
        </w:tc>
      </w:tr>
      <w:tr>
        <w:tc>
          <w:tcPr>
            <w:tcW w:type="dxa" w:w="28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Colunas</w:t>
            </w:r>
          </w:p>
        </w:tc>
        <w:tc>
          <w:tcPr>
            <w:tcW w:type="dxa" w:w="65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porte_cargo, em_extincao</w:t>
            </w:r>
          </w:p>
        </w:tc>
      </w:tr>
      <w:tr>
        <w:tc>
          <w:tcPr>
            <w:tcW w:type="dxa" w:w="28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Pergunta</w:t>
            </w:r>
          </w:p>
        </w:tc>
        <w:tc>
          <w:tcPr>
            <w:tcW w:type="dxa" w:w="65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Os cargos em extinção concentram-se em algum porte específico?</w:t>
            </w:r>
          </w:p>
        </w:tc>
      </w:tr>
      <w:tr>
        <w:tc>
          <w:tcPr>
            <w:tcW w:type="dxa" w:w="28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Indicador ligado</w:t>
            </w:r>
          </w:p>
        </w:tc>
        <w:tc>
          <w:tcPr>
            <w:tcW w:type="dxa" w:w="65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Cargos em extinção com ocupante.</w:t>
            </w:r>
          </w:p>
        </w:tc>
      </w:tr>
      <w:tr>
        <w:tc>
          <w:tcPr>
            <w:tcW w:type="dxa" w:w="280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23"/>
                <w:szCs w:val="23"/>
              </w:rPr>
              <w:t xml:space="preserve">Justificativa</w:t>
            </w:r>
          </w:p>
        </w:tc>
        <w:tc>
          <w:tcPr>
            <w:tcW w:type="dxa" w:w="6560"/>
            <w:tcBorders>
              <w:top w:val="single" w:color="C7CEDB" w:sz="1"/>
              <w:left w:val="single" w:color="C7CEDB" w:sz="1"/>
              <w:bottom w:val="single" w:color="C7CEDB" w:sz="1"/>
              <w:right w:val="single" w:color="C7CE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sz w:val="23"/>
                <w:szCs w:val="23"/>
              </w:rPr>
              <w:t xml:space="preserve">Cruzamento de duas categóricas; a barra empilhada compara o total por porte e a fatia em extinção dentro de cada um simultaneamente.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Style w:val="Heading1"/>
        <w:jc w:val="center"/>
      </w:pPr>
      <w:r>
        <w:t xml:space="preserve">Visualizações construídas</w:t>
      </w:r>
    </w:p>
    <w:p>
      <w:pPr>
        <w:spacing w:after="180" w:line="320"/>
        <w:jc w:val="both"/>
      </w:pPr>
      <w:r>
        <w:rPr>
          <w:sz w:val="26"/>
          <w:szCs w:val="26"/>
        </w:rPr>
        <w:t xml:space="preserve">As cinco visualizações abaixo foram capturadas diretamente do dashboard, gerado a partir do dataset final tratado. Cada uma traz título, a pergunta que responde, eixos identificados e a frase-resposta destacada. São exatamente os gráficos que aparecem no dashboard HTML.</w:t>
      </w:r>
    </w:p>
    <w:p>
      <w:pPr>
        <w:spacing w:after="80"/>
      </w:pPr>
    </w:p>
    <w:p>
      <w:pPr>
        <w:pStyle w:val="Heading2"/>
        <w:jc w:val="center"/>
      </w:pPr>
      <w:r>
        <w:t xml:space="preserve">Gráfico 1 — Top 15 órgãos por vagas em aberto</w:t>
      </w:r>
    </w:p>
    <w:p>
      <w:pPr>
        <w:spacing w:after="40" w:before="80"/>
        <w:jc w:val="center"/>
      </w:pPr>
      <w:r>
        <w:drawing>
          <wp:inline distT="0" distB="0" distL="0" distR="0">
            <wp:extent cx="4572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6B7280"/>
          <w:sz w:val="19"/>
          <w:szCs w:val="19"/>
        </w:rPr>
        <w:t xml:space="preserve">Top 15 órgãos por número de vagas em aberto (barras horizontais).</w:t>
      </w:r>
    </w:p>
    <w:p>
      <w:pPr>
        <w:pStyle w:val="Heading2"/>
        <w:jc w:val="center"/>
      </w:pPr>
      <w:r>
        <w:t xml:space="preserve">Gráfico 2 — Composição das vacâncias por causa</w:t>
      </w:r>
    </w:p>
    <w:p>
      <w:pPr>
        <w:spacing w:after="40" w:before="80"/>
        <w:jc w:val="center"/>
      </w:pPr>
      <w:r>
        <w:drawing>
          <wp:inline distT="0" distB="0" distL="0" distR="0">
            <wp:extent cx="4572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6B7280"/>
          <w:sz w:val="19"/>
          <w:szCs w:val="19"/>
        </w:rPr>
        <w:t xml:space="preserve">Vacâncias do mês decompostas nas sete causas (barras horizontais).</w:t>
      </w:r>
    </w:p>
    <w:p>
      <w:r>
        <w:br w:type="page"/>
      </w:r>
    </w:p>
    <w:p>
      <w:pPr>
        <w:pStyle w:val="Heading2"/>
        <w:jc w:val="center"/>
      </w:pPr>
      <w:r>
        <w:t xml:space="preserve">Gráfico 3 — Concentração de vagas por órgão (Pareto)</w:t>
      </w:r>
    </w:p>
    <w:p>
      <w:pPr>
        <w:spacing w:after="40" w:before="80"/>
        <w:jc w:val="center"/>
      </w:pPr>
      <w:r>
        <w:drawing>
          <wp:inline distT="0" distB="0" distL="0" distR="0">
            <wp:extent cx="603885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6B7280"/>
          <w:sz w:val="19"/>
          <w:szCs w:val="19"/>
        </w:rPr>
        <w:t xml:space="preserve">Pareto: vagas por órgão e percentual acumulado.</w:t>
      </w:r>
    </w:p>
    <w:p>
      <w:pPr>
        <w:pStyle w:val="Heading2"/>
        <w:jc w:val="center"/>
      </w:pPr>
      <w:r>
        <w:t xml:space="preserve">Gráfico 4 — Cargos por faixa de ocupação</w:t>
      </w:r>
    </w:p>
    <w:p>
      <w:pPr>
        <w:spacing w:after="40" w:before="80"/>
        <w:jc w:val="center"/>
      </w:pPr>
      <w:r>
        <w:drawing>
          <wp:inline distT="0" distB="0" distL="0" distR="0">
            <wp:extent cx="4295775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6B7280"/>
          <w:sz w:val="19"/>
          <w:szCs w:val="19"/>
        </w:rPr>
        <w:t xml:space="preserve">Número de cargos em cada faixa de ocupação.</w:t>
      </w:r>
    </w:p>
    <w:p>
      <w:r>
        <w:br w:type="page"/>
      </w:r>
    </w:p>
    <w:p>
      <w:pPr>
        <w:pStyle w:val="Heading2"/>
        <w:jc w:val="center"/>
      </w:pPr>
      <w:r>
        <w:t xml:space="preserve">Gráfico 5 — Cargos por porte × situação de extinção</w:t>
      </w:r>
    </w:p>
    <w:p>
      <w:pPr>
        <w:spacing w:after="40" w:before="80"/>
        <w:jc w:val="center"/>
      </w:pPr>
      <w:r>
        <w:drawing>
          <wp:inline distT="0" distB="0" distL="0" distR="0">
            <wp:extent cx="4295775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6B7280"/>
          <w:sz w:val="19"/>
          <w:szCs w:val="19"/>
        </w:rPr>
        <w:t xml:space="preserve">Cargos por porte, separando ativos e em extinção (barras empilhadas).</w:t>
      </w:r>
    </w:p>
    <w:p>
      <w:r>
        <w:br w:type="page"/>
      </w:r>
    </w:p>
    <w:p>
      <w:pPr>
        <w:pStyle w:val="Heading1"/>
        <w:jc w:val="center"/>
      </w:pPr>
      <w:r>
        <w:t xml:space="preserve">Interpretação dos resultados</w:t>
      </w:r>
    </w:p>
    <w:p>
      <w:pPr>
        <w:pStyle w:val="Heading2"/>
        <w:jc w:val="center"/>
      </w:pPr>
      <w:r>
        <w:t xml:space="preserve">Gráfico 1 — Top 15 órgãos por vagas em aberto</w:t>
      </w:r>
    </w:p>
    <w:p>
      <w:pPr>
        <w:spacing w:after="180" w:line="320"/>
        <w:jc w:val="both"/>
      </w:pPr>
      <w:r>
        <w:rPr>
          <w:sz w:val="26"/>
          <w:szCs w:val="26"/>
        </w:rPr>
        <w:t xml:space="preserve">Quatro órgãos — Ministério da Saúde (33.835), MEC (28.112), Ministério da Fazenda (28.098) e INSS (24.532) — destacam-se muito acima dos demais. O déficit federal não é uniforme: ele é institucionalmente concentrado. Para a tomada de decisão, isso significa que o calendário de concursos tem maior impacto se priorizar esse núcleo de órgãos.</w:t>
      </w:r>
    </w:p>
    <w:p>
      <w:pPr>
        <w:pStyle w:val="Heading2"/>
        <w:jc w:val="center"/>
      </w:pPr>
      <w:r>
        <w:t xml:space="preserve">Gráfico 2 — Composição das vacâncias por causa</w:t>
      </w:r>
    </w:p>
    <w:p>
      <w:pPr>
        <w:spacing w:after="180" w:line="320"/>
        <w:jc w:val="both"/>
      </w:pPr>
      <w:r>
        <w:rPr>
          <w:sz w:val="26"/>
          <w:szCs w:val="26"/>
        </w:rPr>
        <w:t xml:space="preserve">A aposentadoria responde por 76,7% de todas as vacâncias do mês (214.829 de 280.125). As demais causas — posse em cargo inacumulável, exoneração e falecimento — são marginais em comparação. A leitura é direta: a reposição de pessoal é, em essência, um problema de transição demográfica, e não de rotatividade voluntária. Políticas baseadas em projeção de aposentadorias tendem a ser mais eficazes que modelos de turnover.</w:t>
      </w:r>
    </w:p>
    <w:p>
      <w:pPr>
        <w:pStyle w:val="Heading2"/>
        <w:jc w:val="center"/>
      </w:pPr>
      <w:r>
        <w:t xml:space="preserve">Gráfico 3 — Concentração de vagas por órgão (Pareto)</w:t>
      </w:r>
    </w:p>
    <w:p>
      <w:pPr>
        <w:spacing w:after="180" w:line="320"/>
        <w:jc w:val="both"/>
      </w:pPr>
      <w:r>
        <w:rPr>
          <w:sz w:val="26"/>
          <w:szCs w:val="26"/>
        </w:rPr>
        <w:t xml:space="preserve">Apenas os quatro maiores órgãos concentram cerca de 49% de todas as vagas em aberto, e vinte órgãos somam aproximadamente 78%. Confirma-se a concentração: a maior parte do déficit federal está em um número pequeno de instituições. Esse é o complemento do paradoxo observado no PM3 — embora a maioria dos cargos individuais esteja completa, o volume de vagas se acumula em poucos órgãos de grande porte.</w:t>
      </w:r>
    </w:p>
    <w:p>
      <w:pPr>
        <w:pStyle w:val="Heading2"/>
        <w:jc w:val="center"/>
      </w:pPr>
      <w:r>
        <w:t xml:space="preserve">Gráfico 4 — Cargos por faixa de ocupação</w:t>
      </w:r>
    </w:p>
    <w:p>
      <w:pPr>
        <w:spacing w:after="180" w:line="320"/>
        <w:jc w:val="both"/>
      </w:pPr>
      <w:r>
        <w:rPr>
          <w:sz w:val="26"/>
          <w:szCs w:val="26"/>
        </w:rPr>
        <w:t xml:space="preserve">A maior parte dos cargos (9.750) está na faixa Completa (90–100%), enquanto 1.539 estão em situação Crítica (menos de 40% ocupados). Esse contraste explica o paradoxo central da base: a média de ocupação por cargo individual fica alta (em torno de 85%), mas a taxa agregada do governo é de apenas 66,9%, porque poucos cargos muito grandes e muito vazios puxam o total para baixo. Para a decisão, são justamente os cargos críticos que merecem prioridade no concurso.</w:t>
      </w:r>
    </w:p>
    <w:p>
      <w:pPr>
        <w:pStyle w:val="Heading2"/>
        <w:jc w:val="center"/>
      </w:pPr>
      <w:r>
        <w:t xml:space="preserve">Gráfico 5 — Cargos por porte × situação de extinção</w:t>
      </w:r>
    </w:p>
    <w:p>
      <w:pPr>
        <w:spacing w:after="180" w:line="320"/>
        <w:jc w:val="both"/>
      </w:pPr>
      <w:r>
        <w:rPr>
          <w:sz w:val="26"/>
          <w:szCs w:val="26"/>
        </w:rPr>
        <w:t xml:space="preserve">A extinção concentra-se nos cargos de menor porte: entre os cargos Micro, a proporção em extinção é a mais alta, ao passo que os grandes cargos institucionais permanecem majoritariamente ativos. Isso indica que a descontinuação de carreiras atinge sobretudo estruturas pequenas e residuais, sem afetar o núcleo dos grandes órgãos — uma informação útil para planejar a transição dessas carreiras.</w:t>
      </w:r>
    </w:p>
    <w:p>
      <w:r>
        <w:br w:type="page"/>
      </w:r>
    </w:p>
    <w:p>
      <w:pPr>
        <w:pStyle w:val="Heading1"/>
        <w:jc w:val="center"/>
      </w:pPr>
      <w:r>
        <w:t xml:space="preserve">Descrição do dashboard</w:t>
      </w:r>
    </w:p>
    <w:p>
      <w:pPr>
        <w:spacing w:after="180" w:line="320"/>
        <w:jc w:val="both"/>
      </w:pPr>
      <w:r>
        <w:rPr>
          <w:sz w:val="26"/>
          <w:szCs w:val="26"/>
        </w:rPr>
        <w:t xml:space="preserve">O dashboard final reúne os cinco indicadores e os cinco gráficos em uma única tela, com filtros interativos. Foram desenvolvidas duas versões equivalentes: uma em </w:t>
      </w:r>
      <w:r>
        <w:rPr>
          <w:b/>
          <w:bCs/>
          <w:sz w:val="26"/>
          <w:szCs w:val="26"/>
        </w:rPr>
        <w:t xml:space="preserve">HTML self-contained</w:t>
      </w:r>
      <w:r>
        <w:rPr>
          <w:sz w:val="26"/>
          <w:szCs w:val="26"/>
        </w:rPr>
        <w:t xml:space="preserve"> (abre offline em qualquer navegador, com identidade visual nas cores nacionais e storytelling clicável) e uma em </w:t>
      </w:r>
      <w:r>
        <w:rPr>
          <w:b/>
          <w:bCs/>
          <w:sz w:val="26"/>
          <w:szCs w:val="26"/>
        </w:rPr>
        <w:t xml:space="preserve">Streamlit/Python</w:t>
      </w:r>
      <w:r>
        <w:rPr>
          <w:sz w:val="26"/>
          <w:szCs w:val="26"/>
        </w:rPr>
        <w:t xml:space="preserve"> (aplicativo web com filtros na barra lateral). Ambas leem o mesmo dataset tratado e produzem os mesmos números.</w:t>
      </w:r>
    </w:p>
    <w:p>
      <w:pPr>
        <w:spacing w:after="180" w:line="320"/>
        <w:jc w:val="both"/>
      </w:pPr>
      <w:r>
        <w:rPr>
          <w:sz w:val="26"/>
          <w:szCs w:val="26"/>
        </w:rPr>
        <w:t xml:space="preserve">A organização visual segue uma leitura de cima para baixo: um cabeçalho com o tema e a fonte; uma seção de storytelling que conta o caminho do dado bruto (PM3) ao dashboard (PM4); a faixa de cinco indicadores; e, abaixo, os gráficos, cada um acompanhado de uma frase-resposta que se reescreve conforme os filtros. À esquerda, uma barra lateral fixa concentra os quatro filtros interativos. Em vez de um único print muito reduzido, apresentamos o dashboard em partes legíveis a seguir.</w:t>
      </w:r>
    </w:p>
    <w:p>
      <w:pPr>
        <w:spacing w:after="120"/>
      </w:pPr>
    </w:p>
    <w:p>
      <w:pPr>
        <w:spacing w:after="60"/>
        <w:jc w:val="center"/>
      </w:pPr>
      <w:r>
        <w:rPr>
          <w:i/>
          <w:iCs/>
          <w:color w:val="6B7280"/>
          <w:sz w:val="20"/>
          <w:szCs w:val="20"/>
        </w:rPr>
        <w:t xml:space="preserve">Cabeçalho e storytelling do projeto (PM3 → PM4):</w:t>
      </w:r>
    </w:p>
    <w:p>
      <w:pPr>
        <w:spacing w:after="40" w:before="80"/>
        <w:jc w:val="center"/>
      </w:pPr>
      <w:r>
        <w:drawing>
          <wp:inline distT="0" distB="0" distL="0" distR="0">
            <wp:extent cx="603885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6B7280"/>
          <w:sz w:val="19"/>
          <w:szCs w:val="19"/>
        </w:rPr>
        <w:t xml:space="preserve">Topo do dashboard: tema, fonte e a história do tratamento dos dados, com o painel de números do PM3.</w:t>
      </w:r>
    </w:p>
    <w:p>
      <w:r>
        <w:br w:type="page"/>
      </w:r>
    </w:p>
    <w:p>
      <w:pPr>
        <w:spacing w:after="60"/>
      </w:pPr>
      <w:r>
        <w:rPr>
          <w:b/>
          <w:bCs/>
          <w:color w:val="1E3A8A"/>
          <w:sz w:val="24"/>
          <w:szCs w:val="24"/>
        </w:rPr>
        <w:t xml:space="preserve">Filtros interativos (mínimo de um exigido; o dashboard tem quatro):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26"/>
          <w:szCs w:val="26"/>
        </w:rPr>
        <w:t xml:space="preserve">Nível</w:t>
      </w:r>
      <w:r>
        <w:rPr>
          <w:sz w:val="26"/>
          <w:szCs w:val="26"/>
        </w:rPr>
        <w:t xml:space="preserve"> — filtra por escolaridade do cargo (NS, NI, etc.).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26"/>
          <w:szCs w:val="26"/>
        </w:rPr>
        <w:t xml:space="preserve">Porte do cargo</w:t>
      </w:r>
      <w:r>
        <w:rPr>
          <w:sz w:val="26"/>
          <w:szCs w:val="26"/>
        </w:rPr>
        <w:t xml:space="preserve"> — de Micro a Mega, conforme a variável criada no PM3.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26"/>
          <w:szCs w:val="26"/>
        </w:rPr>
        <w:t xml:space="preserve">Situação</w:t>
      </w:r>
      <w:r>
        <w:rPr>
          <w:sz w:val="26"/>
          <w:szCs w:val="26"/>
        </w:rPr>
        <w:t xml:space="preserve"> — cargos ativos ou em extinção.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26"/>
          <w:szCs w:val="26"/>
        </w:rPr>
        <w:t xml:space="preserve">Faixa de ocupação</w:t>
      </w:r>
      <w:r>
        <w:rPr>
          <w:sz w:val="26"/>
          <w:szCs w:val="26"/>
        </w:rPr>
        <w:t xml:space="preserve"> — de Crítica (&lt;40%) a Completa (90–100%).</w:t>
      </w:r>
    </w:p>
    <w:p>
      <w:pPr>
        <w:spacing w:after="180" w:line="320"/>
        <w:jc w:val="both"/>
      </w:pPr>
      <w:r>
        <w:rPr>
          <w:sz w:val="26"/>
          <w:szCs w:val="26"/>
        </w:rPr>
        <w:t xml:space="preserve">Ao alterar qualquer filtro, os cinco indicadores e todos os gráficos recalculam em tempo real, e um contador na barra lateral mostra quantos cargos restam no recorte selecionado.</w:t>
      </w:r>
    </w:p>
    <w:p>
      <w:pPr>
        <w:spacing w:after="120"/>
      </w:pPr>
    </w:p>
    <w:p>
      <w:pPr>
        <w:spacing w:after="60"/>
        <w:jc w:val="center"/>
      </w:pPr>
      <w:r>
        <w:rPr>
          <w:i/>
          <w:iCs/>
          <w:color w:val="6B7280"/>
          <w:sz w:val="20"/>
          <w:szCs w:val="20"/>
        </w:rPr>
        <w:t xml:space="preserve">Barra lateral de filtros (à esquerda do dashboard):</w:t>
      </w:r>
    </w:p>
    <w:p>
      <w:pPr>
        <w:spacing w:after="40" w:before="80"/>
        <w:jc w:val="center"/>
      </w:pPr>
      <w:r>
        <w:drawing>
          <wp:inline distT="0" distB="0" distL="0" distR="0">
            <wp:extent cx="238125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6B7280"/>
          <w:sz w:val="19"/>
          <w:szCs w:val="19"/>
        </w:rPr>
        <w:t xml:space="preserve">Barra lateral fixa com os quatro filtros e o contador de registros do recorte.</w:t>
      </w:r>
    </w:p>
    <w:p>
      <w:r>
        <w:br w:type="page"/>
      </w:r>
    </w:p>
    <w:p>
      <w:pPr>
        <w:pStyle w:val="Heading1"/>
        <w:jc w:val="center"/>
      </w:pPr>
      <w:r>
        <w:t xml:space="preserve">Conclusão</w:t>
      </w:r>
    </w:p>
    <w:p>
      <w:pPr>
        <w:spacing w:after="180" w:line="320"/>
        <w:jc w:val="both"/>
      </w:pPr>
      <w:r>
        <w:rPr>
          <w:sz w:val="26"/>
          <w:szCs w:val="26"/>
        </w:rPr>
        <w:t xml:space="preserve">O PM4 cumpriu o objetivo de transformar uma base pública tratada em análise visual útil para a decisão. As cinco perguntas analíticas foram respondidas por gráficos específicos, e três conclusões se sustentam com clareza: o déficit de pessoal do Executivo Federal é institucionalmente concentrado em poucos órgãos de grande porte; a causa predominante das vacâncias é a aposentadoria (76,7%), o que caracteriza um problema de transição demográfica e não de rotatividade; e existe um paradoxo entre a alta ocupação média por cargo e a taxa agregada de apenas 66,9%, explicado por poucos cargos grandes e muito vazios.</w:t>
      </w:r>
    </w:p>
    <w:p>
      <w:pPr>
        <w:spacing w:after="180" w:line="320"/>
        <w:jc w:val="both"/>
      </w:pPr>
      <w:r>
        <w:rPr>
          <w:sz w:val="26"/>
          <w:szCs w:val="26"/>
        </w:rPr>
        <w:t xml:space="preserve">Do ponto de vista de decisão, esses achados convergem para uma recomendação prática: priorizar concursos no núcleo de órgãos que concentra o déficit e planejar a reposição com base em projeção de aposentadorias. O dashboard interativo, nas versões HTML e Streamlit, permite que cada usuário recorte a análise por nível, porte, situação e faixa de ocupação, sustentando decisões mais precisas.</w:t>
      </w:r>
    </w:p>
    <w:p>
      <w:pPr>
        <w:spacing w:after="180" w:line="320"/>
        <w:jc w:val="both"/>
      </w:pPr>
      <w:r>
        <w:rPr>
          <w:sz w:val="26"/>
          <w:szCs w:val="26"/>
        </w:rPr>
        <w:t xml:space="preserve">Como evolução natural do trabalho, a base mensal abre caminho para uma análise de série histórica, para o agrupamento (clustering) dos órgãos por perfil de déficit e para um modelo preditivo de aposentadorias — extensões já mapeadas desde o PM3, que dariam continuidade direta ao que foi construído aqui.</w:t>
      </w:r>
    </w:p>
    <w:p>
      <w:r>
        <w:br w:type="page"/>
      </w:r>
    </w:p>
    <w:p>
      <w:pPr>
        <w:pStyle w:val="Heading1"/>
        <w:jc w:val="center"/>
      </w:pPr>
      <w:r>
        <w:t xml:space="preserve">Referências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sz w:val="26"/>
          <w:szCs w:val="26"/>
        </w:rPr>
        <w:t xml:space="preserve">BRASIL. Secretaria de Gestão e Inovação (SEGES/MGI). Cargos Vagos e Vacâncias do Poder Executivo Federal Civil, competência 03/2026. Portal Brasileiro de Dados Abertos. Disponível em: dados.gov.br. Licença CC BY 4.0.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sz w:val="26"/>
          <w:szCs w:val="26"/>
        </w:rPr>
        <w:t xml:space="preserve">BRASIL. Lei nº 8.112, de 11 de dezembro de 1990, art. 33 — Vacância no Regime Jurídico dos Servidores Públicos Civis da União.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sz w:val="26"/>
          <w:szCs w:val="26"/>
        </w:rPr>
        <w:t xml:space="preserve">CASTRO, L. N.; FERRARI, D. G. Introdução à mineração de dados: conceitos básicos, algoritmos e aplicações. São Paulo: Saraiva, 2016.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sz w:val="26"/>
          <w:szCs w:val="26"/>
        </w:rPr>
        <w:t xml:space="preserve">GOLDSCHMIDT, R.; BEZERRA, E.; PASSOS, E. Data mining: conceitos, técnicas, algoritmos, orientações e aplicações. 2. ed. Rio de Janeiro: Elsevier, 2015.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Relatório Final PM4 — Cargos Vagos e Vacâncias do Executivo Federal Civil · </w:t>
    </w:r>
    <w:r>
      <w:rPr>
        <w:color w:val="6B7280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280"/>
      <w:jc w:val="center"/>
      <w:outlineLvl w:val="0"/>
    </w:pPr>
    <w:rPr>
      <w:rFonts w:ascii="Arial" w:cs="Arial" w:eastAsia="Arial" w:hAnsi="Arial"/>
      <w:b/>
      <w:bCs/>
      <w:color w:val="1E40A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jc w:val="center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cea23671ea4bfbbce25b81726b03b3811aee793.png"/><Relationship Id="rId9" Type="http://schemas.openxmlformats.org/officeDocument/2006/relationships/image" Target="media/a093d30181a4752d6ab191ea968f1a438cfb997d.png"/><Relationship Id="rId10" Type="http://schemas.openxmlformats.org/officeDocument/2006/relationships/image" Target="media/fc36db456fb60408bd09f14f3c31cf15135cac5a.png"/><Relationship Id="rId11" Type="http://schemas.openxmlformats.org/officeDocument/2006/relationships/image" Target="media/db975c009433e4c973467acc588f1276686aed4f.png"/><Relationship Id="rId12" Type="http://schemas.openxmlformats.org/officeDocument/2006/relationships/image" Target="media/05b7e53fa88d9b40b56892e62af06dfd6a6e1ed2.png"/><Relationship Id="rId13" Type="http://schemas.openxmlformats.org/officeDocument/2006/relationships/image" Target="media/4f343eab74bcb3aa5c2f17767c2f0517c604ed1e.png"/><Relationship Id="rId14" Type="http://schemas.openxmlformats.org/officeDocument/2006/relationships/image" Target="media/694a24e97bf96377a6d195b3ff88c2ac17eedd21.png"/><Relationship Id="rId15" Type="http://schemas.openxmlformats.org/officeDocument/2006/relationships/image" Target="media/68bbb31b8b1be48ff47c9faa1546735db27ef49a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 PM4 — Cargos Vagos e Vacâncias do Executivo Federal Civil</dc:title>
  <dc:creator>Grupo PM4</dc:creator>
  <cp:lastModifiedBy>Un-named</cp:lastModifiedBy>
  <cp:revision>1</cp:revision>
  <dcterms:created xsi:type="dcterms:W3CDTF">2026-06-21T23:43:43.999Z</dcterms:created>
  <dcterms:modified xsi:type="dcterms:W3CDTF">2026-06-21T23:43:43.999Z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