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f172a"/>
          <w:sz w:val="32"/>
          <w:szCs w:val="32"/>
        </w:rPr>
        <w:t xml:space="preserve">Projeto Mensal 4 — Visualização de Dados e Dashboard</w:t>
      </w:r>
    </w:p>
    <w:p>
      <w:pPr>
        <w:spacing w:after="60"/>
        <w:jc w:val="center"/>
      </w:pPr>
      <w:r>
        <w:rPr>
          <w:color w:val="475569"/>
          <w:sz w:val="22"/>
          <w:szCs w:val="22"/>
        </w:rPr>
        <w:t xml:space="preserve">Cargos Vagos e Vacâncias do Executivo Federal Civil — SEGES/MGI, competência 03/2026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Etapas 2 e 3 — Planejamento e Construção das Visualizações</w:t>
      </w:r>
    </w:p>
    <w:p>
      <w:pPr>
        <w:spacing w:after="240"/>
        <w:jc w:val="center"/>
      </w:pPr>
      <w:r>
        <w:rPr>
          <w:color w:val="475569"/>
          <w:sz w:val="18"/>
          <w:szCs w:val="18"/>
        </w:rPr>
        <w:t xml:space="preserve">Equipe: Heron Felipe Juvenil Divino, Jihad Riad Ghozayel, Nicolas Gabriel Correa Martão</w:t>
      </w:r>
    </w:p>
    <w:p>
      <w:pPr>
        <w:pStyle w:val="Heading1"/>
      </w:pPr>
      <w:r>
        <w:t xml:space="preserve">Etapa 2 — Planejamento dos gráficos</w:t>
      </w:r>
    </w:p>
    <w:p>
      <w:pPr>
        <w:spacing w:after="140"/>
      </w:pPr>
      <w:r>
        <w:t xml:space="preserve">Parti da base tratada no PM3 (12.769 registros, 37 colunas) e selecionei seis visualizações. Cada uma nasce de uma pergunta analítica concreta e usa colunas específicas do dataset final. O critério foi simples: o gráfico precisa responder a uma pergunta de decisão; se não responde, não entra.</w:t>
      </w:r>
    </w:p>
    <w:p>
      <w:pPr>
        <w:pStyle w:val="Heading2"/>
      </w:pPr>
      <w:r>
        <w:t xml:space="preserve">Gráfico 1 — Top 15 órgãos por vagas em aberto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Barras horizontais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Colunas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sigla_orgao, qtd_vaga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Pergunta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Quais órgãos concentram o maior déficit de pessoal?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Ranking de categorias com rótulos longos lê-se melhor na horizontal; a ordenação revela a magnitude relativa de cada órgão de forma imediata.</w:t>
            </w:r>
          </w:p>
        </w:tc>
      </w:tr>
    </w:tbl>
    <w:p>
      <w:pPr>
        <w:pStyle w:val="Heading2"/>
      </w:pPr>
      <w:r>
        <w:t xml:space="preserve">Gráfico 2 — Composição das vacâncias por causa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Barras horizontais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Colunas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vac_aposentadoria, vac_posse_cargo_inac, vac_exoneracao, vac_falecimento, vac_demissao, vac_promocao, vac_readaptacao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Pergunta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 o peso de cada uma das sete causas de saída de servidores?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Sete categorias com magnitudes muito diferentes: a barra horizontal ordenada permite comparar valores absolutos com precisão e isola visualmente o peso dominante da aposentadoria, sem a distorção de leitura de ângulos de um gráfico de pizza.</w:t>
            </w:r>
          </w:p>
        </w:tc>
      </w:tr>
    </w:tbl>
    <w:p>
      <w:pPr>
        <w:pStyle w:val="Heading2"/>
      </w:pPr>
      <w:r>
        <w:t xml:space="preserve">Gráfico 3 — Taxa de ocupação: NS vs NI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Colunas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Colunas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nivel, qtd_ocupada, qtd_aprovada (taxa agregada)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Pergunta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nível de escolaridade do cargo altera a taxa de ocupação?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Comparação direta entre dois grupos resolve-se com colunas lado a lado; a linha de referência da média federal contextualiza cada barra.</w:t>
            </w:r>
          </w:p>
        </w:tc>
      </w:tr>
    </w:tbl>
    <w:p>
      <w:pPr>
        <w:pStyle w:val="Heading2"/>
      </w:pPr>
      <w:r>
        <w:t xml:space="preserve">Gráfico 4 — Concentração de vagas por órgão (Pareto)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Pareto (barras + linha acumulada)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Colunas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sigla_orgao, qtd_vaga (e % acumulado)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Pergunta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déficit está concentrado em poucos órgãos ou diluído?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Pareto é o gráfico canônico de concentração; a linha acumulada mostra quantos órgãos bastam para explicar a maior parte do déficit.</w:t>
            </w:r>
          </w:p>
        </w:tc>
      </w:tr>
    </w:tbl>
    <w:p>
      <w:pPr>
        <w:pStyle w:val="Heading2"/>
      </w:pPr>
      <w:r>
        <w:t xml:space="preserve">Gráfico 5 — Distribuição de cargos por faixa de ocupação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Colunas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Colunas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faixa_taxa_ocupacao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Pergunta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Quantos cargos estão em situação crítica versus completos?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Categórica ordinal criada no PM3; as colunas mostram a frequência de cada faixa e ajudam a explicar o paradoxo entre média individual e taxa agregada.</w:t>
            </w:r>
          </w:p>
        </w:tc>
      </w:tr>
    </w:tbl>
    <w:p>
      <w:pPr>
        <w:pStyle w:val="Heading2"/>
      </w:pPr>
      <w:r>
        <w:t xml:space="preserve">Gráfico 6 — Cargos por porte × situação de extinção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Barras empilhadas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Colunas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porte_cargo, em_extincao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Pergunta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 cargos em extinção concentram-se em algum porte específico?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Cruzamento de duas categóricas; a barra empilhada compara o total por porte e a fatia em extinção dentro de cada um simultaneamente.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Etapa 3 — Construção das visualizações</w:t>
      </w:r>
    </w:p>
    <w:p>
      <w:pPr>
        <w:spacing w:after="140"/>
      </w:pPr>
      <w:r>
        <w:t xml:space="preserve">As seis visualizações abaixo foram geradas a partir do dataset final tratado. Cada uma traz título, eixos identificados e a leitura do que mostra.</w:t>
      </w:r>
    </w:p>
    <w:p>
      <w:pPr>
        <w:pStyle w:val="Heading2"/>
      </w:pPr>
      <w:r>
        <w:t xml:space="preserve">Gráfico 1 — Top 15 órgãos por vagas em aberto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0d9488" w:sz="18" w:space="8"/>
        </w:pBdr>
        <w:spacing w:after="200"/>
        <w:ind w:left="160"/>
      </w:pPr>
      <w:r>
        <w:rPr>
          <w:b/>
          <w:bCs/>
          <w:color w:val="0d9488"/>
          <w:sz w:val="21"/>
          <w:szCs w:val="21"/>
        </w:rPr>
        <w:t xml:space="preserve">Interpretação. </w:t>
      </w:r>
      <w:r>
        <w:rPr>
          <w:sz w:val="21"/>
          <w:szCs w:val="21"/>
        </w:rPr>
        <w:t xml:space="preserve">Quatro órgãos — Ministério da Saúde (33.835), MEC (28.112), Ministério da Fazenda (28.098) e INSS (24.532) — destacam-se muito acima dos demais. O déficit federal não é uniforme: ele é institucionalmente concentrado. Para a tomada de decisão, isso significa que o calendário de concursos tem maior impacto se priorizar esse núcleo de órgãos.</w:t>
      </w:r>
    </w:p>
    <w:p>
      <w:pPr>
        <w:pStyle w:val="Heading2"/>
      </w:pPr>
      <w:r>
        <w:t xml:space="preserve">Gráfico 2 — Composição das vacâncias por causa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0d9488" w:sz="18" w:space="8"/>
        </w:pBdr>
        <w:spacing w:after="200"/>
        <w:ind w:left="160"/>
      </w:pPr>
      <w:r>
        <w:rPr>
          <w:b/>
          <w:bCs/>
          <w:color w:val="0d9488"/>
          <w:sz w:val="21"/>
          <w:szCs w:val="21"/>
        </w:rPr>
        <w:t xml:space="preserve">Interpretação. </w:t>
      </w:r>
      <w:r>
        <w:rPr>
          <w:sz w:val="21"/>
          <w:szCs w:val="21"/>
        </w:rPr>
        <w:t xml:space="preserve">A aposentadoria responde por 76,7% de todas as vacâncias do mês (214.829 de 280.125). As demais causas — posse em cargo inacumulável, exoneração e falecimento — são marginais em comparação. A leitura é direta: a reposição de pessoal é, em essência, um problema de transição demográfica, e não de rotatividade voluntária. Políticas baseadas em projeção de aposentadorias tendem a ser mais eficazes que modelos de turnover.</w:t>
      </w:r>
    </w:p>
    <w:p>
      <w:pPr>
        <w:pStyle w:val="Heading2"/>
      </w:pPr>
      <w:r>
        <w:t xml:space="preserve">Gráfico 3 — Taxa de ocupação: NS vs NI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0d9488" w:sz="18" w:space="8"/>
        </w:pBdr>
        <w:spacing w:after="200"/>
        <w:ind w:left="160"/>
      </w:pPr>
      <w:r>
        <w:rPr>
          <w:b/>
          <w:bCs/>
          <w:color w:val="0d9488"/>
          <w:sz w:val="21"/>
          <w:szCs w:val="21"/>
        </w:rPr>
        <w:t xml:space="preserve">Interpretação. </w:t>
      </w:r>
      <w:r>
        <w:rPr>
          <w:sz w:val="21"/>
          <w:szCs w:val="21"/>
        </w:rPr>
        <w:t xml:space="preserve">Cargos de Nível Superior têm ocupação de 68,6%, contra 62,4% nos de Nível Intermediário — ambos abaixo da média federal de 66,9%. A diferença existe mas é moderada: o déficit atinge os dois níveis. O NS está ligeiramente mais provido, o que sugere maior pressão de reposição na base intermediária da carreira.</w:t>
      </w:r>
    </w:p>
    <w:p>
      <w:pPr>
        <w:pStyle w:val="Heading2"/>
      </w:pPr>
      <w:r>
        <w:t xml:space="preserve">Gráfico 4 — Concentração de vagas por órgão (Pareto)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0d9488" w:sz="18" w:space="8"/>
        </w:pBdr>
        <w:spacing w:after="200"/>
        <w:ind w:left="160"/>
      </w:pPr>
      <w:r>
        <w:rPr>
          <w:b/>
          <w:bCs/>
          <w:color w:val="0d9488"/>
          <w:sz w:val="21"/>
          <w:szCs w:val="21"/>
        </w:rPr>
        <w:t xml:space="preserve">Interpretação. </w:t>
      </w:r>
      <w:r>
        <w:rPr>
          <w:sz w:val="21"/>
          <w:szCs w:val="21"/>
        </w:rPr>
        <w:t xml:space="preserve">Apenas os quatro maiores órgãos concentram cerca de 49% de todas as vagas em aberto, e vinte órgãos somam aproximadamente 78%. Confirma-se a concentração: a maior parte do déficit federal está em um número pequeno de instituições. Esse é o complemento do paradoxo observado no PM3 — embora a maioria dos cargos individuais esteja completa, o volume de vagas se acumula em poucos órgãos de grande porte.</w:t>
      </w:r>
    </w:p>
    <w:p>
      <w:pPr>
        <w:pStyle w:val="Heading2"/>
      </w:pPr>
      <w:r>
        <w:t xml:space="preserve">Gráfico 5 — Distribuição de cargos por faixa de ocupação</w:t>
      </w:r>
    </w:p>
    <w:p>
      <w:pPr>
        <w:spacing w:after="80" w:before="80"/>
        <w:jc w:val="center"/>
      </w:pPr>
      <w:r>
        <w:drawing>
          <wp:inline distT="0" distB="0" distL="0" distR="0">
            <wp:extent cx="45720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0d9488" w:sz="18" w:space="8"/>
        </w:pBdr>
        <w:spacing w:after="200"/>
        <w:ind w:left="160"/>
      </w:pPr>
      <w:r>
        <w:rPr>
          <w:b/>
          <w:bCs/>
          <w:color w:val="0d9488"/>
          <w:sz w:val="21"/>
          <w:szCs w:val="21"/>
        </w:rPr>
        <w:t xml:space="preserve">Interpretação. </w:t>
      </w:r>
      <w:r>
        <w:rPr>
          <w:sz w:val="21"/>
          <w:szCs w:val="21"/>
        </w:rPr>
        <w:t xml:space="preserve">9.750 dos 12.769 cargos estão na faixa Completa (90-100%), mas 1.539 estão em situação Crítica (abaixo de 40%). A maioria dos cargos individuais aparenta saúde, o que explica por que a taxa média individual (85%) é muito maior que a taxa agregada do governo (66,9%): poucos cargos grandes e muito vagos puxam o total para baixo. Um painel ingênuo que mostrasse só a média individual contaria a história errada.</w:t>
      </w:r>
    </w:p>
    <w:p>
      <w:pPr>
        <w:pStyle w:val="Heading2"/>
      </w:pPr>
      <w:r>
        <w:t xml:space="preserve">Gráfico 6 — Cargos por porte × situação de extinção</w:t>
      </w:r>
    </w:p>
    <w:p>
      <w:pPr>
        <w:spacing w:after="80" w:before="8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0d9488" w:sz="18" w:space="8"/>
        </w:pBdr>
        <w:spacing w:after="200"/>
        <w:ind w:left="160"/>
      </w:pPr>
      <w:r>
        <w:rPr>
          <w:b/>
          <w:bCs/>
          <w:color w:val="0d9488"/>
          <w:sz w:val="21"/>
          <w:szCs w:val="21"/>
        </w:rPr>
        <w:t xml:space="preserve">Interpretação. </w:t>
      </w:r>
      <w:r>
        <w:rPr>
          <w:sz w:val="21"/>
          <w:szCs w:val="21"/>
        </w:rPr>
        <w:t xml:space="preserve">A extinção concentra-se nos cargos de menor porte: entre os Micro (1-2 servidores), 2.170 dos 5.558 estão em extinção, enquanto entre os Mega (&gt;500) praticamente nenhum está. Faz sentido administrativo — cargos pequenos e residuais são os candidatos naturais a serem descontinuados, ao passo que os grandes cargos institucionais são estruturais e permanecem ativos.</w:t>
      </w:r>
    </w:p>
    <w:p>
      <w:pPr>
        <w:pBdr>
          <w:top w:val="single" w:color="0d9488" w:sz="6" w:space="6"/>
        </w:pBdr>
        <w:spacing w:before="240"/>
      </w:pPr>
      <w:r>
        <w:rPr>
          <w:i/>
          <w:iCs/>
          <w:color w:val="475569"/>
          <w:sz w:val="16"/>
          <w:szCs w:val="16"/>
        </w:rPr>
        <w:t xml:space="preserve">Fonte dos dados: Portal Brasileiro de Dados Abertos (dados.gov.br) — SEGES/MGI, competência 03/2026. Dataset tratado no PM3.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d948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f172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dcde80c821dea05d33160c891e0cf6b97dd6454.png"/><Relationship Id="rId8" Type="http://schemas.openxmlformats.org/officeDocument/2006/relationships/image" Target="media/216124994d0dd07e60e4164adc83fb08124ca8d0.png"/><Relationship Id="rId9" Type="http://schemas.openxmlformats.org/officeDocument/2006/relationships/image" Target="media/61392430f521083c48898eb03f7332fd817a3e11.png"/><Relationship Id="rId10" Type="http://schemas.openxmlformats.org/officeDocument/2006/relationships/image" Target="media/15e3e36fae326c667cd8bd1515456bb65eaa1bbf.png"/><Relationship Id="rId11" Type="http://schemas.openxmlformats.org/officeDocument/2006/relationships/image" Target="media/1faab9d999c37cfb09ce5ca4b1356d81fec2a114.png"/><Relationship Id="rId12" Type="http://schemas.openxmlformats.org/officeDocument/2006/relationships/image" Target="media/38e4ee1815bb3502a312e375e5ce7d59984b4b6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2026-06-17T21:44:55.577Z</dcterms:created>
  <dcterms:modified xsi:type="dcterms:W3CDTF">2026-06-17T21:44:55.588Z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