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4"/>
          <w:szCs w:val="24"/>
        </w:rPr>
        <w:t xml:space="preserve">COFIEX BI: BUSINESS INTELLIGENCE APLICADO À GESTÃO DOS FINANCIAMENTOS EXTERNOS DO SETOR PÚBLICO BRASILEIRO</w:t>
      </w:r>
    </w:p>
    <w:p>
      <w:pPr>
        <w:spacing w:after="40"/>
        <w:jc w:val="center"/>
      </w:pPr>
      <w:r>
        <w:rPr>
          <w:sz w:val="20"/>
          <w:szCs w:val="20"/>
        </w:rPr>
        <w:t xml:space="preserve">Heron Felipe Juvenil Divino¹, Nícolas Gabriel Corrêa Martão¹, Fernanda Andrieli Chini Konzen¹, Bruno de Oliveira¹</w:t>
      </w:r>
    </w:p>
    <w:p>
      <w:pPr>
        <w:spacing w:after="140"/>
        <w:jc w:val="both"/>
      </w:pPr>
      <w:r>
        <w:rPr>
          <w:i/>
          <w:iCs/>
          <w:sz w:val="18"/>
          <w:szCs w:val="18"/>
        </w:rPr>
        <w:t xml:space="preserve">¹ Acadêmicos do Curso de Engenharia de Software do Centro Universitário União das Américas Descomplica, Foz do Iguaçu, Paraná.</w:t>
      </w:r>
    </w:p>
    <w:p>
      <w:pPr>
        <w:spacing w:after="100" w:before="0" w:line="276"/>
        <w:jc w:val="both"/>
      </w:pPr>
      <w:r>
        <w:rPr>
          <w:b/>
          <w:bCs/>
          <w:sz w:val="22"/>
          <w:szCs w:val="22"/>
        </w:rPr>
        <w:t xml:space="preserve">Resumo: </w:t>
      </w:r>
      <w:r>
        <w:rPr>
          <w:sz w:val="22"/>
          <w:szCs w:val="22"/>
        </w:rPr>
        <w:t xml:space="preserve">Este trabalho apresenta o COFIEX BI, uma solução de Business Intelligence aplicada aos dados abertos do Painel da Comissão de Financiamentos Externos (COFIEX), disponibilizados pelo Portal Brasileiro de Dados Abertos. O projeto cobre o ciclo completo de ETL e visualização: extração da base oficial em Excel, tratamento em Python com Pandas, persistência em SQLite e construção de dashboards interativos. A base bruta contém 2.977 registros de carta-consulta cobrindo o período de 1980 a 2025, totalizando aproximadamente US$ 278 bilhões em financiamentos. A análise revela forte concentração territorial — Nacional e Sudeste somam 69,7% do volume — e dependência do BID e do BIRD, que respondem por 52,8% dos projetos. A solução transforma uma planilha pública pouco utilizada em ferramenta de apoio à decisão alinhada às diretrizes da Lei de Acesso à Informação e da LGPD.</w:t>
      </w:r>
    </w:p>
    <w:p>
      <w:pPr>
        <w:spacing w:after="160" w:before="0" w:line="276"/>
        <w:jc w:val="both"/>
      </w:pPr>
      <w:r>
        <w:rPr>
          <w:b/>
          <w:bCs/>
          <w:sz w:val="22"/>
          <w:szCs w:val="22"/>
        </w:rPr>
        <w:t xml:space="preserve">Palavras-chave: </w:t>
      </w:r>
      <w:r>
        <w:rPr>
          <w:sz w:val="22"/>
          <w:szCs w:val="22"/>
        </w:rPr>
        <w:t xml:space="preserve">Business Intelligence; ETL; Dados Abertos; Financiamento Externo; COFIEX; Setor Público.</w:t>
      </w:r>
    </w:p>
    <w:p>
      <w:pPr>
        <w:pStyle w:val="Heading1"/>
      </w:pPr>
      <w:r>
        <w:t xml:space="preserve">1 INTRODUÇÃO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O financiamento externo via organismos multilaterais e bilaterais — como o Banco Mundial (BIRD), o Banco Interamericano de Desenvolvimento (BID) e a Corporação Andina de Fomento (CAF) — é um dos principais instrumentos de execução de políticas públicas no Brasil, cobrindo áreas como saneamento, transporte, meio ambiente e desenvolvimento urbano (PESSINA et al., 2022). A Comissão de Financiamentos Externos (COFIEX), vinculada ao Ministério do Planejamento, é o órgão responsável por analisar, autorizar e acompanhar esses projetos nas três esferas de governo (BRASIL, 2025).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O Painel COFIEX publica no portal dados.gov.br um conjunto aberto com informações sobre todas as fases do ciclo de projeto — análise, preparação, negociação, assinatura e execução. Apesar da disponibilidade pública, sua utilização estratégica pelos gestores ainda é limitada, pois os arquivos brutos exigem tratamento técnico especializado para se tornarem úteis à tomada de decisão. Albano e Reinhard (2015) destacam justamente essa lacuna: a disponibilidade de dados abertos só gera valor quando convertida em produtos analíticos acessíveis. Pereira et al. (2022) reforçam que o BI é ferramenta estratégica para organizações públicas que buscam visualizar processos e simular cenários para decisões mais assertivas.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O projeto responde à seguinte questão: como uma solução de Business Intelligence aplicada aos dados do Painel COFIEX pode revelar prioridades, concentração territorial e dependência de fontes financiadoras ao longo do tempo? O objetivo geral é transformar a base aberta em informação estratégica por meio de pipeline de ETL, persistência relacional e dashboard interativo. Os objetivos específicos são: (a) construir um pipeline de ETL em Python para extração, limpeza e carga dos dados; (b) modelar os dados em banco relacional para suportar análises por organismo financiador, ente da federação, setor e período; (c) entregar um dashboard validado com filtros operantes e métricas principais; e (d) homologar o sistema com treinamento dos usuários finais.</w:t>
      </w:r>
    </w:p>
    <w:p>
      <w:pPr>
        <w:pStyle w:val="Heading1"/>
      </w:pPr>
      <w:r>
        <w:t xml:space="preserve">2 METODOLOGIA</w:t>
      </w:r>
    </w:p>
    <w:p>
      <w:pPr>
        <w:pStyle w:val="Heading2"/>
      </w:pPr>
      <w:r>
        <w:t xml:space="preserve">2.1 Caracterização, Fonte de Dados e Coleta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Projeto acadêmico aplicado de natureza quantitativa e descritiva, fundamentado em dados secundários de domínio público provenientes do Painel COFIEX (BRASIL, 2025). A coleta ocorreu por download do arquivo dados_2025-02-05.xlsx no Portal Brasileiro de Dados Abertos. O arquivo é composto por duas abas: a aba Dados, com 2.977 registros e 26 colunas, em que cada linha representa uma carta-consulta de solicitação de financiamento externo; e a aba Dicionário, que descreve oficialmente cada uma das 26 variáveis. Os valores estão em dólar americano (USD) e as datas em padrão brasileiro (DD/MM/YYYY), cobrindo o período de 1980 a 2025.</w:t>
      </w:r>
    </w:p>
    <w:p>
      <w:pPr>
        <w:pStyle w:val="Heading2"/>
      </w:pPr>
      <w:r>
        <w:t xml:space="preserve">2.2 Processamento ETL e Persistência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O ETL foi conduzido em Python no Jupyter Notebook em quatro etapas: (1) extração com pandas.read_excel da aba Dados, retornando 2.977 linhas e 26 colunas; (2) transformação, com remoção de oito duplicatas exatas via drop_duplicates, padronização textual (strip e upper) das colunas nmProjeto, nmSujeito e nmSetor, conversão de VlDolar para float (com tratamento da vírgula decimal do padrão brasileiro) e conversão das oito colunas de data para datetime com dayfirst=True e errors='coerce' para tolerar datas inválidas; (3) feature engineering, com criação da coluna ano_recebimento extraída de dtRecebimento para suportar análises temporais; e (4) carga dupla — exportação para CSV em data/processed/cofiex_dadostratados.csv (2.969 linhas × 27 colunas) e persistência no SQLite (db.sqlite, tabela projetos, modo if_exists='replace'). A base bruta foi preservada intacta em data/raw/, garantindo rastreabilidade do tratamento.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A inspeção de qualidade revelou nulos esperados nas colunas de datas tardias do ciclo — dtReuniaoNegociacao (69,7%), dtAprovacaoSenado (75,0%), dtUltimaAmortizacao (78,3%) —, coerentes com a regra de negócio: projetos arquivados ou em fase inicial não chegam a essas etapas. A principal preocupação recaiu sobre os 178 registros nulos em VlDolar (6,0%), tratados como ausentes nas agregações financeiras. A coluna dtValidadeRecomendacao, embora sem nulos contábeis, apresentou a data 01/01/1900 como preenchimento-padrão do Excel, convertida em NaT no pipeline.</w:t>
      </w:r>
    </w:p>
    <w:p>
      <w:pPr>
        <w:pStyle w:val="Heading2"/>
      </w:pPr>
      <w:r>
        <w:t xml:space="preserve">2.3 Técnicas de Análise, Visualização e Ferramentas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A análise utilizou Pandas para agregações sobre o CSV tratado e o SQLite para consultas estruturadas, com visualizações em Matplotlib nos notebooks de exploração e dashboard interativo final em Power BI. O painel foi estruturado em sete telas — Visão Geral da Carteira, Análise Territorial, Esfera de Governo, Fontes Financiadoras, Tipos de Operação, Fases da Carteira e Mudanças de Perfil — com filtros globais por ano, região, UF, esfera, fonte, tipo de operação e fase. As ferramentas empregadas são todas gratuitas e amplamente difundidas: Python 3.12, Pandas, Matplotlib, SQLite, Jupyter Notebook e Power BI.</w:t>
      </w:r>
    </w:p>
    <w:p>
      <w:pPr>
        <w:pStyle w:val="Heading1"/>
      </w:pPr>
      <w:r>
        <w:t xml:space="preserve">3 ANÁLISE DOS RESULTADOS E DISCUSSÃO</w:t>
      </w:r>
    </w:p>
    <w:p>
      <w:pPr>
        <w:pStyle w:val="Heading2"/>
      </w:pPr>
      <w:r>
        <w:t xml:space="preserve">3.1 Descrição do Conjunto de Dados Tratado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Após o pipeline, o conjunto consolidado tem 2.969 registros e 27 colunas (26 originais somadas a ano_recebimento), com a remoção de oito duplicatas exatas. O volume financeiro mapeado totaliza aproximadamente US$ 278 bilhões em valores de financiamento (VlDolar). A Tabela 1 apresenta o perfil quantitativo da base, do bruto ao tratado.</w:t>
      </w:r>
    </w:p>
    <w:p>
      <w:pPr>
        <w:spacing w:after="60" w:before="80"/>
        <w:jc w:val="left"/>
      </w:pPr>
      <w:r>
        <w:rPr>
          <w:b/>
          <w:bCs/>
          <w:sz w:val="20"/>
          <w:szCs w:val="20"/>
        </w:rPr>
        <w:t xml:space="preserve">Tabela 1 — Perfil quantitativo da base bruta e tratada.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Propriedade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Base bruta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Base tratada</w:t>
            </w:r>
          </w:p>
        </w:tc>
      </w:tr>
      <w:tr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Registros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2.977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2.969</w:t>
            </w:r>
          </w:p>
        </w:tc>
      </w:tr>
      <w:tr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Colunas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 (+ ano_recebimento)</w:t>
            </w:r>
          </w:p>
        </w:tc>
      </w:tr>
      <w:tr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Duplicatas removidas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Encoding de saída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UTF-8</w:t>
            </w:r>
          </w:p>
        </w:tc>
      </w:tr>
      <w:tr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CSV + SQLite (tabela projetos)</w:t>
            </w:r>
          </w:p>
        </w:tc>
      </w:tr>
    </w:tbl>
    <w:p>
      <w:pPr>
        <w:spacing w:after="140" w:before="40"/>
        <w:jc w:val="left"/>
      </w:pPr>
      <w:r>
        <w:rPr>
          <w:i/>
          <w:iCs/>
          <w:sz w:val="18"/>
          <w:szCs w:val="18"/>
        </w:rPr>
        <w:t xml:space="preserve">Fonte: Elaboração própria a partir do pipeline ETL.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A inspeção sistemática de qualidade revelou padrões esperados na base do Painel COFIEX, conforme sintetiza a Tabela 2. Os altos percentuais de nulos nas datas tardias do ciclo refletem o funcionamento da própria carteira: projetos arquivados ou em fase inicial jamais alcançam as etapas de aprovação, assinatura ou amortização. O ponto sensível concentra-se nos 178 registros sem VlDolar (6,0%), excluídos das agregações financeiras, e na coluna dtValidadeRecomendacao, que registrava 01/01/1900 como preenchimento-padrão do Excel — caso corrigido pelo pipeline com conversão para NaT.</w:t>
      </w:r>
    </w:p>
    <w:p>
      <w:pPr>
        <w:spacing w:after="60" w:before="80"/>
        <w:jc w:val="left"/>
      </w:pPr>
      <w:r>
        <w:rPr>
          <w:b/>
          <w:bCs/>
          <w:sz w:val="20"/>
          <w:szCs w:val="20"/>
        </w:rPr>
        <w:t xml:space="preserve">Tabela 2 — Qualidade dos dados: principais colunas com nulos.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4560"/>
      </w:tblGrid>
      <w:t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Nulos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nulo</w:t>
            </w:r>
          </w:p>
        </w:tc>
        <w:tc>
          <w:tcPr>
            <w:tcW w:type="dxa" w:w="45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Justificativa de negócio</w:t>
            </w:r>
          </w:p>
        </w:tc>
      </w:tr>
      <w:t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VlDolar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178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6,0%</w:t>
            </w:r>
          </w:p>
        </w:tc>
        <w:tc>
          <w:tcPr>
            <w:tcW w:type="dxa" w:w="45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financeiro ausente — impacta análise</w:t>
            </w:r>
          </w:p>
        </w:tc>
      </w:tr>
      <w:t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CpVlDolar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129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4,3%</w:t>
            </w:r>
          </w:p>
        </w:tc>
        <w:tc>
          <w:tcPr>
            <w:tcW w:type="dxa" w:w="45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Contrapartida ausente</w:t>
            </w:r>
          </w:p>
        </w:tc>
      </w:tr>
      <w:t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dtReuniaoNegociacao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2.073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69,7%</w:t>
            </w:r>
          </w:p>
        </w:tc>
        <w:tc>
          <w:tcPr>
            <w:tcW w:type="dxa" w:w="45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Projeto não chegou à negociação</w:t>
            </w:r>
          </w:p>
        </w:tc>
      </w:tr>
      <w:t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dtAprovacaoSenado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2.232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75,0%</w:t>
            </w:r>
          </w:p>
        </w:tc>
        <w:tc>
          <w:tcPr>
            <w:tcW w:type="dxa" w:w="45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Apenas crédito externo passa pelo Senado</w:t>
            </w:r>
          </w:p>
        </w:tc>
      </w:tr>
      <w:t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dtAssinatura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1.608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54,0%</w:t>
            </w:r>
          </w:p>
        </w:tc>
        <w:tc>
          <w:tcPr>
            <w:tcW w:type="dxa" w:w="45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chegou à assinatura do contrato</w:t>
            </w:r>
          </w:p>
        </w:tc>
      </w:tr>
      <w:t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dtUltimaAmortizacao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2.331</w:t>
            </w:r>
          </w:p>
        </w:tc>
        <w:tc>
          <w:tcPr>
            <w:tcW w:type="dxa" w:w="1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78,3%</w:t>
            </w:r>
          </w:p>
        </w:tc>
        <w:tc>
          <w:tcPr>
            <w:tcW w:type="dxa" w:w="45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Apenas projetos em repagamento</w:t>
            </w:r>
          </w:p>
        </w:tc>
      </w:tr>
    </w:tbl>
    <w:p>
      <w:pPr>
        <w:spacing w:after="140" w:before="40"/>
        <w:jc w:val="left"/>
      </w:pPr>
      <w:r>
        <w:rPr>
          <w:i/>
          <w:iCs/>
          <w:sz w:val="18"/>
          <w:szCs w:val="18"/>
        </w:rPr>
        <w:t xml:space="preserve">Fonte: Elaboração própria com base em df.isnull().sum() sobre a base bruta (2.977 registros).</w:t>
      </w:r>
    </w:p>
    <w:p>
      <w:pPr>
        <w:pStyle w:val="Heading2"/>
      </w:pPr>
      <w:r>
        <w:t xml:space="preserve">3.2 Concentração Territorial, Modal, Setorial e por Ciclo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Concentração territorial. A carteira é fortemente concentrada, conforme ilustrado na Figura 1. As regiões Nacional (US$ 105,8 bi) e Sudeste (US$ 88,2 bi) somam 69,7% do volume financeiro total. Nordeste responde por US$ 33,5 bi, Sul por US$ 25,8 bi, Norte por US$ 14,0 bi e Centro-Oeste por US$ 11,1 bi. O destaque da categoria Nacional reflete projetos de alcance federal, cujo mutuário é a União e cujo efeito se distribui por todo o território — padrão consistente com a caracterização da cooperação internacional brasileira documentada por Pessina et al. (2022).</w:t>
      </w:r>
    </w:p>
    <w:p>
      <w:pPr>
        <w:spacing w:after="60" w:before="100"/>
        <w:jc w:val="left"/>
      </w:pPr>
      <w:r>
        <w:rPr>
          <w:b/>
          <w:bCs/>
          <w:sz w:val="20"/>
          <w:szCs w:val="20"/>
        </w:rPr>
        <w:t xml:space="preserve">Figura 1 — Valor total dos financiamentos por região do mutuário (US$ bilhões).</w:t>
      </w:r>
    </w:p>
    <w:p>
      <w:pPr>
        <w:spacing w:after="40"/>
        <w:jc w:val="center"/>
      </w:pPr>
      <w:r>
        <w:drawing>
          <wp:inline distT="0" distB="0" distL="0" distR="0">
            <wp:extent cx="4572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left"/>
      </w:pPr>
      <w:r>
        <w:rPr>
          <w:i/>
          <w:iCs/>
          <w:sz w:val="18"/>
          <w:szCs w:val="18"/>
        </w:rPr>
        <w:t xml:space="preserve">Fonte: Elaboração própria a partir da base tratada (2.969 registros, coluna VlDolar agregada por Regiao).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Distribuição por fonte financiadora. Conforme a Tabela 3, BID e BIRD lideram com folga, somando 52,8% dos 2.969 projetos. CAF, GEF e FONPLATA, juntos, respondem por 15,9% adicionais. A concentração revela a dependência histórica do Brasil em relação aos dois grandes bancos de desenvolvimento multilaterais (PESSINA et al., 2022).</w:t>
      </w:r>
    </w:p>
    <w:p>
      <w:pPr>
        <w:spacing w:after="60" w:before="80"/>
        <w:jc w:val="left"/>
      </w:pPr>
      <w:r>
        <w:rPr>
          <w:b/>
          <w:bCs/>
          <w:sz w:val="20"/>
          <w:szCs w:val="20"/>
        </w:rPr>
        <w:t xml:space="preserve">Tabela 3 — Distribuição de projetos por fonte financiadora (Top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600"/>
        <w:gridCol w:w="2720"/>
      </w:tblGrid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Projetos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do total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BID (Banco Interamericano de Desenvolvimento)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810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27,3%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BIRD (Banco Mundial)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761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25,6%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CAF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6,8%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GEF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154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5,2%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FONPLATA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3,9%</w:t>
            </w:r>
          </w:p>
        </w:tc>
      </w:tr>
    </w:tbl>
    <w:p>
      <w:pPr>
        <w:spacing w:after="140" w:before="40"/>
        <w:jc w:val="left"/>
      </w:pPr>
      <w:r>
        <w:rPr>
          <w:i/>
          <w:iCs/>
          <w:sz w:val="18"/>
          <w:szCs w:val="18"/>
        </w:rPr>
        <w:t xml:space="preserve">Fonte: Elaboração própria a partir da base tratada.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Distribuição setorial. Os cinco setores com maior volume de projetos concentram 1.836 registros (61,8% do total), conforme a Tabela 4. A liderança ambiental e urbana sinaliza alinhamento com agendas internacionais de sustentabilidade e com a crescente demanda municipal por infraestrutura — aderente ao que apontam Pereira et al. (2022) sobre o papel do BI no apoio a políticas setoriais.</w:t>
      </w:r>
    </w:p>
    <w:p>
      <w:pPr>
        <w:spacing w:after="60" w:before="80"/>
        <w:jc w:val="left"/>
      </w:pPr>
      <w:r>
        <w:rPr>
          <w:b/>
          <w:bCs/>
          <w:sz w:val="20"/>
          <w:szCs w:val="20"/>
        </w:rPr>
        <w:t xml:space="preserve">Tabela 4 — Distribuição de projetos por setor de atuação (Top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600"/>
        <w:gridCol w:w="2720"/>
      </w:tblGrid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Setor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Projetos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do total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Meio Ambiente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508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17,1%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Desenvolvimento Urbano e Mobilidade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498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16,8%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Fortalecimento Institucional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290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9,8%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Saneamento Básico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290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9,8%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Logística e Transporte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8,4%</w:t>
            </w:r>
          </w:p>
        </w:tc>
      </w:tr>
    </w:tbl>
    <w:p>
      <w:pPr>
        <w:spacing w:after="140" w:before="40"/>
        <w:jc w:val="left"/>
      </w:pPr>
      <w:r>
        <w:rPr>
          <w:i/>
          <w:iCs/>
          <w:sz w:val="18"/>
          <w:szCs w:val="18"/>
        </w:rPr>
        <w:t xml:space="preserve">Fonte: Elaboração própria a partir da base tratada.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Distribuição por fase do ciclo. A carteira é majoritariamente madura, como mostra a Tabela 5: projetos arquivados e em repagamento somam 78,2% do total, enquanto apenas 9,9% da carteira está ativa (em execução ou em preparação). O peso de projetos encerrados indica que grande parte da história da carteira já foi escrita e que o painel cumpre papel relevante de memória institucional, não apenas de monitoramento corrente.</w:t>
      </w:r>
    </w:p>
    <w:p>
      <w:pPr>
        <w:spacing w:after="60" w:before="80"/>
        <w:jc w:val="left"/>
      </w:pPr>
      <w:r>
        <w:rPr>
          <w:b/>
          <w:bCs/>
          <w:sz w:val="20"/>
          <w:szCs w:val="20"/>
        </w:rPr>
        <w:t xml:space="preserve">Tabela 5 — Distribuição de projetos por fase do ciclo.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600"/>
        <w:gridCol w:w="2720"/>
      </w:tblGrid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Projetos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do total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Arquivado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1.309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44,1%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Repagamento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1.012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34,1%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 execução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5,4%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 preparação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133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4,5%</w:t>
            </w:r>
          </w:p>
        </w:tc>
      </w:tr>
      <w:tr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Demais fases (negociação, aguardando etc.)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355</w:t>
            </w:r>
          </w:p>
        </w:tc>
        <w:tc>
          <w:tcPr>
            <w:tcW w:type="dxa" w:w="27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12,0%</w:t>
            </w:r>
          </w:p>
        </w:tc>
      </w:tr>
    </w:tbl>
    <w:p>
      <w:pPr>
        <w:spacing w:after="140" w:before="40"/>
        <w:jc w:val="left"/>
      </w:pPr>
      <w:r>
        <w:rPr>
          <w:i/>
          <w:iCs/>
          <w:sz w:val="18"/>
          <w:szCs w:val="18"/>
        </w:rPr>
        <w:t xml:space="preserve">Fonte: Elaboração própria a partir da base tratada.</w:t>
      </w:r>
    </w:p>
    <w:p>
      <w:pPr>
        <w:pStyle w:val="Heading2"/>
      </w:pPr>
      <w:r>
        <w:t xml:space="preserve">3.3 Padrões Temporais e Síntese Analítica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Padrões temporais. A coluna derivada ano_recebimento permitiu a análise da entrada de cartas-consulta entre 1980 e 2025. A série apresenta heterogeneidade marcante: períodos de baixa atividade nas décadas de 1980 e 1990 alternam-se com picos pós-2003, associados ao ciclo de ampliação do investimento público federal e à intensificação da cooperação multilateral. Esse comportamento dialoga com o achado de Pessina et al. (2022), segundo o qual a carteira de financiamento externo brasileira passou por reconfiguração relevante a partir dos anos 2000, com diversificação das fontes e ampliação dos setores apoiados.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Síntese e discussão. Os achados confirmam três padrões estruturais. Primeiro, há concentração geográfica e modal — Nacional/Sudeste e BID/BIRD dominam, em linha com a hipótese de dependência de poucos atores discutida na literatura (PESSINA et al., 2022). Segundo, o desenho dos nulos é informativo: as datas tardias do ciclo (negociação, Senado, amortização) estão ausentes na maioria dos registros precisamente porque a maior parte da carteira nunca avançou até essas fases. Em vez de ruído, esses nulos descrevem o funil real da COFIEX. Terceiro, o resultado prático corrobora a tese de Albano e Reinhard (2015): a base já era pública, mas a ferramenta de BI é o que torna a informação efetivamente utilizável por gestores sem formação em dados — papel que Sharda, Delen e Turban (2019) caracterizam como o núcleo do BI na administração pública contemporânea.</w:t>
      </w:r>
    </w:p>
    <w:p>
      <w:pPr>
        <w:pStyle w:val="Heading1"/>
      </w:pPr>
      <w:r>
        <w:t xml:space="preserve">4 CONSIDERAÇÕES FINAIS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O projeto demonstrou que é possível construir uma solução de BI completa, do ETL ao dashboard interativo, a partir exclusivamente de dados públicos. O pipeline processou 2.977 registros da base bruta da COFIEX, removeu oito duplicatas exatas e entregou um conjunto tratado de 2.969 registros e 27 colunas, persistido em SQLite e visualizado em Power BI. Os principais achados indicam US$ 278 bilhões em financiamentos mapeados, com 69,7% concentrados nas regiões Nacional e Sudeste e 52,8% intermediados por BID e BIRD; Meio Ambiente e Desenvolvimento Urbano lideram o volume de projetos; 78,2% da carteira está arquivada ou em repagamento, evidenciando uma carteira em fase predominante de encerramento e amortização.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Como limitações, registra-se a ausência de coordenadas geográficas detalhadas, que restringiu o recorte ao nível de UF, a alta nulidade nas datas tardias do ciclo, que reduz o universo de projetos passíveis de análise de duração de fase, e a janela temporal extensa, que mistura distintos regimes regulatórios entre as décadas de 1980 e 2020. O recorte por VlDolar também perdeu 178 registros sem valor financeiro registrado, o que pode subestimar levemente o volume real da carteira.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Como trabalho futuro, sugere-se a incorporação de análises preditivas sobre execução orçamentária e tempo médio entre fases, a integração com indicadores dos Objetivos de Desenvolvimento Sustentável (ODS) e a automatização da extração para uso contínuo como ferramenta de gestão. O projeto, em conformidade com a LGPD (BRASIL, 2018) por operar exclusivamente sobre dados públicos e não pessoais, contribui para a agenda de Governo Aberto e para a transparência ativa preconizadas pela Lei nº 12.527/2011 (BRASIL, 2011).</w:t>
      </w:r>
    </w:p>
    <w:p>
      <w:pPr>
        <w:pStyle w:val="Heading1"/>
      </w:pPr>
      <w:r>
        <w:t xml:space="preserve">USO DE INTELIGÊNCIA ARTIFICIAL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O projeto contou com o auxílio de ferramentas de inteligência artificial generativa em cinco frentes pontuais, sempre sob supervisão dos autores: (a) geração de relatórios e textos pertinentes ao COFIEX BI, a partir do conteúdo produzido pelo grupo; (b) validação do pipeline de ETL em Python, com sugestões sobre tratamento de nulos, conversão de datas e padronização textual; (c) formulação de ideias de perguntas analíticas que orientaram as telas do dashboard; (d) prototipação preliminar dos dashboards, com sugestões de organização visual e disposição das métricas; e (e) estruturação do corpo do roteiro do vídeo de apresentação. Em todos os casos, as saídas foram revisadas e validadas pelos autores; todo o conteúdo factual, os números e as decisões metodológicas foram produzidos e conferidos pela equipe sobre a base real, garantindo a rastreabilidade e a integridade científica do trabalho.</w:t>
      </w:r>
    </w:p>
    <w:p>
      <w:pPr>
        <w:pStyle w:val="Heading1"/>
      </w:pPr>
      <w:r>
        <w:t xml:space="preserve">AGRADECIMENTOS</w:t>
      </w:r>
    </w:p>
    <w:p>
      <w:pPr>
        <w:spacing w:after="100" w:before="0" w:line="276"/>
        <w:ind w:firstLine="709"/>
        <w:jc w:val="both"/>
      </w:pPr>
      <w:r>
        <w:rPr>
          <w:sz w:val="22"/>
          <w:szCs w:val="22"/>
        </w:rPr>
        <w:t xml:space="preserve">Os autores agradecem ao Centro Universitário União das Américas Descomplica pela infraestrutura acadêmica oferecida ao longo do desenvolvimento do projeto, à Coordenação do Curso de Engenharia de Software pelo acompanhamento das entregas e pela orientação metodológica, e à equipe responsável pelo Painel COFIEX e ao Portal Brasileiro de Dados Abertos, mantidos pelo Governo Federal, pela disponibilização contínua dos dados públicos que viabilizaram a totalidade das análises aqui apresentadas, em consonância com a Lei nº 12.527/2011 e com o Decreto nº 8.777/2016 (BRASIL, 2016).</w:t>
      </w:r>
    </w:p>
    <w:p>
      <w:pPr>
        <w:pStyle w:val="Heading1"/>
      </w:pPr>
      <w:r>
        <w:t xml:space="preserve">REFERÊNCIAS</w:t>
      </w:r>
    </w:p>
    <w:p>
      <w:pPr>
        <w:spacing w:after="90" w:line="240"/>
        <w:jc w:val="both"/>
      </w:pPr>
      <w:r>
        <w:rPr>
          <w:sz w:val="20"/>
          <w:szCs w:val="20"/>
        </w:rPr>
        <w:t xml:space="preserve">ALBANO, C. S.; REINHARD, N. Desafios para governos e sociedade no ecossistema brasileiro de dados governamentais abertos. Cadernos Gestão Pública e Cidadania, v. 20, n. 67, p. 214-234, 2015.</w:t>
      </w:r>
    </w:p>
    <w:p>
      <w:pPr>
        <w:spacing w:after="90" w:line="240"/>
        <w:jc w:val="both"/>
      </w:pPr>
      <w:r>
        <w:rPr>
          <w:sz w:val="20"/>
          <w:szCs w:val="20"/>
        </w:rPr>
        <w:t xml:space="preserve">BRASIL. Presidência da República. Lei nº 12.527, de 18 de novembro de 2011 — Lei de Acesso à Informação. Disponível em: https://www.planalto.gov.br/ccivil_03/_ato2011-2014/2011/lei/l12527.htm. Acesso em: 23 mar. 2026.</w:t>
      </w:r>
    </w:p>
    <w:p>
      <w:pPr>
        <w:spacing w:after="90" w:line="240"/>
        <w:jc w:val="both"/>
      </w:pPr>
      <w:r>
        <w:rPr>
          <w:sz w:val="20"/>
          <w:szCs w:val="20"/>
        </w:rPr>
        <w:t xml:space="preserve">BRASIL. Presidência da República. Decreto nº 8.777, de 11 de maio de 2016 — Política de Dados Abertos do Poder Executivo Federal. Disponível em: https://www.planalto.gov.br/ccivil_03/_ato2015-2018/2016/decreto/d8777.htm. Acesso em: 23 mar. 2026.</w:t>
      </w:r>
    </w:p>
    <w:p>
      <w:pPr>
        <w:spacing w:after="90" w:line="240"/>
        <w:jc w:val="both"/>
      </w:pPr>
      <w:r>
        <w:rPr>
          <w:sz w:val="20"/>
          <w:szCs w:val="20"/>
        </w:rPr>
        <w:t xml:space="preserve">BRASIL. Presidência da República. Lei nº 13.709, de 14 de agosto de 2018 — Lei Geral de Proteção de Dados Pessoais (LGPD). Disponível em: https://www.planalto.gov.br/ccivil_03/_ato2015-2018/2018/lei/l13709.htm. Acesso em: 23 mar. 2026.</w:t>
      </w:r>
    </w:p>
    <w:p>
      <w:pPr>
        <w:spacing w:after="90" w:line="240"/>
        <w:jc w:val="both"/>
      </w:pPr>
      <w:r>
        <w:rPr>
          <w:sz w:val="20"/>
          <w:szCs w:val="20"/>
        </w:rPr>
        <w:t xml:space="preserve">BRASIL. Ministério do Planejamento. Painel COFIEX — Comissão de Financiamentos Externos. Portal Brasileiro de Dados Abertos. Disponível em: https://dados.gov.br/dados/conjuntos-dados/cofiex. Acesso em: 23 mar. 2026.</w:t>
      </w:r>
    </w:p>
    <w:p>
      <w:pPr>
        <w:spacing w:after="90" w:line="240"/>
        <w:jc w:val="both"/>
      </w:pPr>
      <w:r>
        <w:rPr>
          <w:sz w:val="20"/>
          <w:szCs w:val="20"/>
        </w:rPr>
        <w:t xml:space="preserve">PEREIRA, J. G. et al. Aplicação do Business Intelligence no setor público. RECIMA21 – Revista Científica Multidisciplinar, v. 3, n. 8, ago. 2022. DOI: 10.47820/recima21.v3i8.1828.</w:t>
      </w:r>
    </w:p>
    <w:p>
      <w:pPr>
        <w:spacing w:after="90" w:line="240"/>
        <w:jc w:val="both"/>
      </w:pPr>
      <w:r>
        <w:rPr>
          <w:sz w:val="20"/>
          <w:szCs w:val="20"/>
        </w:rPr>
        <w:t xml:space="preserve">PESSINA, M. E. H. et al. Cooperação internacional para o desenvolvimento e financiamento externo para o Brasil: uma macroanálise do período entre 2000 e 2020. Revista de Administração Pública, v. 56, n. 2, p. 248-274, 2022.</w:t>
      </w:r>
    </w:p>
    <w:p>
      <w:pPr>
        <w:spacing w:after="90" w:line="240"/>
        <w:jc w:val="both"/>
      </w:pPr>
      <w:r>
        <w:rPr>
          <w:sz w:val="20"/>
          <w:szCs w:val="20"/>
        </w:rPr>
        <w:t xml:space="preserve">SHARDA, R.; DELEN, D.; TURBAN, E. Business Intelligence, Analytics, and Data Science: a managerial perspective. 4. ed. Boston: Pearson, 2019.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217ac48499ca83b269685dcf66a1628c87ee32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2026-06-11T19:50:12.174Z</dcterms:created>
  <dcterms:modified xsi:type="dcterms:W3CDTF">2026-06-11T19:50:12.174Z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