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zrp7vjo1p2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Methodology and Working Logic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875–compliant wind and sag calculations are carried out for transmission line towers using tower coordinates, span data, and conservative design assumptions.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weather data is fetched only for a limited number of geographically representative locations using a grid-based sampling approach; remaining towers are mapped to the nearest sample to minimize API usage.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temperature, maximum temperature, and 95th-percentile wind speed are obtained from a public reanalysis dataset and stored using a persistent cache to ensure repeatability.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governing design wind speed is conservatively taken as the higher of the IS 875 basic wind speed and the derived weather wind speed.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 pressure is calculated using the IS 875 relation ( p = 0.6 V^2 ), and resultant conductor load is computed by combining wind and vertical loads.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Sag under hot and wind conditions is evaluated using standard parabolic sag equations with fixed conductor properties, span length, and design tension.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Fail-safe features such as rate-limit protection, progress saving, fallback values, and caching ensure reliable and uninterrupted execution.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tower-wise results are consolidated into a single Excel output for preliminary design review.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l6wyhg2but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 for Constant Values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parameters remain constant as they are code-defined inputs prescribed by IS 875 (Part 3) and do not vary with individual coordinates.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Towers within the same wind zone share identical basic wind speed (Vb) as per the IS 875 wind zoning map.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coefficient (k₁), terrain/height factor (k₂), and topography factor (k₃ = 1.0) are kept uniform due to consistent assumptions regarding structure category, terrain, reference height, and absence of significant topographical features.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Consequently, wind pressure values remain uniform for locations governed by the same design wind speed.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ehbiqwtf3n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Justification and Scope for Improvement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approach is intentionally conservative and fully compliant with IS 875, making it suitable for safe preliminary design in the absence of detailed site-specific inputs.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can be refined at the detailed design stage by introducing height-wise k₂ variation, GIS-based wind zoning, topography-dependent k₃ evaluation, and structure-specific importance factors.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2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