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4472C4"/>
          <w:sz w:val="22"/>
          <w:szCs w:val="22"/>
        </w:rPr>
        <w:t xml:space="preserve">GOVERNANCE MODEL — GRAPH DATA DESIGN</w:t>
      </w:r>
    </w:p>
    <w:p>
      <w:pPr>
        <w:pBdr>
          <w:bottom w:val="single" w:color="4472C4" w:sz="6" w:space="6"/>
        </w:pBdr>
        <w:spacing w:after="100"/>
        <w:jc w:val="center"/>
      </w:pPr>
      <w:r>
        <w:rPr>
          <w:sz w:val="6"/>
          <w:szCs w:val="6"/>
        </w:rPr>
        <w:t xml:space="preserve"/>
      </w:r>
    </w:p>
    <w:p>
      <w:pPr>
        <w:spacing w:after="60"/>
        <w:jc w:val="center"/>
      </w:pPr>
      <w:r>
        <w:rPr>
          <w:b/>
          <w:bCs/>
          <w:color w:val="1F3864"/>
          <w:sz w:val="34"/>
          <w:szCs w:val="34"/>
        </w:rPr>
        <w:t xml:space="preserve">A Node-Based Schema for Public-Sector Data Governance</w:t>
      </w:r>
    </w:p>
    <w:p>
      <w:pPr>
        <w:spacing w:after="200"/>
        <w:jc w:val="center"/>
      </w:pPr>
      <w:r>
        <w:rPr>
          <w:i/>
          <w:iCs/>
          <w:color w:val="595959"/>
          <w:sz w:val="22"/>
          <w:szCs w:val="22"/>
        </w:rPr>
        <w:t xml:space="preserve">Worked through the Marriage License and Business License examples</w:t>
      </w: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Why a graph, in one paragraph</w:t>
            </w:r>
          </w:p>
          <w:p>
            <w:pPr>
              <w:spacing w:after="0" w:line="264"/>
            </w:pPr>
            <w:r>
              <w:rPr>
                <w:b/>
                <w:bCs/>
                <w:color w:val="1F3864"/>
                <w:sz w:val="20"/>
                <w:szCs w:val="20"/>
              </w:rPr>
              <w:t xml:space="preserve">A governance model is a network, not a form. </w:t>
            </w:r>
            <w:r>
              <w:rPr>
                <w:color w:val="333333"/>
                <w:sz w:val="20"/>
                <w:szCs w:val="20"/>
              </w:rPr>
              <w:t xml:space="preserve">The same data element (a Social Security Number, a date of birth, a home address) is collected by many offices, used for many purposes, authorized by different laws, and classified differently across entities. A graph stores each of these as a node and each relationship as an edge — which means the brief's hardest question, “is similar information governed differently across entities?”, becomes a single query instead of a manual audit. The schema below is what makes equal data rights computable.</w:t>
            </w:r>
          </w:p>
        </w:tc>
      </w:tr>
    </w:tbl>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Design Principles</w:t>
      </w:r>
    </w:p>
    <w:p>
      <w:pPr>
        <w:spacing w:after="130" w:line="274"/>
        <w:jc w:val="left"/>
      </w:pPr>
      <w:r>
        <w:rPr>
          <w:b w:val="false"/>
          <w:bCs w:val="false"/>
          <w:i w:val="false"/>
          <w:iCs w:val="false"/>
          <w:color w:val="222222"/>
          <w:sz w:val="21"/>
          <w:szCs w:val="21"/>
        </w:rPr>
        <w:t xml:space="preserve">Five decisions shape the whole schema. Each one directly serves a requirement in the brief.</w:t>
      </w:r>
    </w:p>
    <w:p>
      <w:pPr>
        <w:pStyle w:val="ListParagraph"/>
        <w:numPr>
          <w:ilvl w:val="0"/>
          <w:numId w:val="2"/>
        </w:numPr>
        <w:spacing w:after="60" w:line="262"/>
      </w:pPr>
      <w:r>
        <w:rPr>
          <w:b/>
          <w:bCs/>
          <w:color w:val="222222"/>
          <w:sz w:val="21"/>
          <w:szCs w:val="21"/>
        </w:rPr>
        <w:t xml:space="preserve">Separate the canonical data type from the data-element instance. </w:t>
      </w:r>
      <w:r>
        <w:rPr>
          <w:color w:val="222222"/>
          <w:sz w:val="21"/>
          <w:szCs w:val="21"/>
        </w:rPr>
        <w:t xml:space="preserve">“Social Security Number” is one canonical type; the SSN field on a marriage license and the SSN field on a business license are two instances that both point to it. This single decision is what enables cross-entity comparison.</w:t>
      </w:r>
    </w:p>
    <w:p>
      <w:pPr>
        <w:pStyle w:val="ListParagraph"/>
        <w:numPr>
          <w:ilvl w:val="0"/>
          <w:numId w:val="2"/>
        </w:numPr>
        <w:spacing w:after="60" w:line="262"/>
      </w:pPr>
      <w:r>
        <w:rPr>
          <w:b/>
          <w:bCs/>
          <w:color w:val="222222"/>
          <w:sz w:val="21"/>
          <w:szCs w:val="21"/>
        </w:rPr>
        <w:t xml:space="preserve">Every governed fact is a node; every governance decision is an edge. </w:t>
      </w:r>
      <w:r>
        <w:rPr>
          <w:color w:val="222222"/>
          <w:sz w:val="21"/>
          <w:szCs w:val="21"/>
        </w:rPr>
        <w:t xml:space="preserve">Classification, purpose, use, retention, and redaction are not text attributes — they are first-class nodes connected to the data they govern, each carrying its own legal citation.</w:t>
      </w:r>
    </w:p>
    <w:p>
      <w:pPr>
        <w:pStyle w:val="ListParagraph"/>
        <w:numPr>
          <w:ilvl w:val="0"/>
          <w:numId w:val="2"/>
        </w:numPr>
        <w:spacing w:after="60" w:line="262"/>
      </w:pPr>
      <w:r>
        <w:rPr>
          <w:b/>
          <w:bCs/>
          <w:color w:val="222222"/>
          <w:sz w:val="21"/>
          <w:szCs w:val="21"/>
        </w:rPr>
        <w:t xml:space="preserve">Legal authority is a shared, versioned node. </w:t>
      </w:r>
      <w:r>
        <w:rPr>
          <w:color w:val="222222"/>
          <w:sz w:val="21"/>
          <w:szCs w:val="21"/>
        </w:rPr>
        <w:t xml:space="preserve">A statute is cited by many elements across many models. When the statute changes, every model touching it is one hop away — this is what makes automated legal-change detection tractable.</w:t>
      </w:r>
    </w:p>
    <w:p>
      <w:pPr>
        <w:pStyle w:val="ListParagraph"/>
        <w:numPr>
          <w:ilvl w:val="0"/>
          <w:numId w:val="2"/>
        </w:numPr>
        <w:spacing w:after="60" w:line="262"/>
      </w:pPr>
      <w:r>
        <w:rPr>
          <w:b/>
          <w:bCs/>
          <w:color w:val="222222"/>
          <w:sz w:val="21"/>
          <w:szCs w:val="21"/>
        </w:rPr>
        <w:t xml:space="preserve">Provenance and approval travel with the data. </w:t>
      </w:r>
      <w:r>
        <w:rPr>
          <w:color w:val="222222"/>
          <w:sz w:val="21"/>
          <w:szCs w:val="21"/>
        </w:rPr>
        <w:t xml:space="preserve">Every node and edge records its source citation, author, and human approver. The model is auditable by construction, not by after-the-fact documentation.</w:t>
      </w:r>
    </w:p>
    <w:p>
      <w:pPr>
        <w:pStyle w:val="ListParagraph"/>
        <w:numPr>
          <w:ilvl w:val="0"/>
          <w:numId w:val="2"/>
        </w:numPr>
        <w:spacing w:after="60" w:line="262"/>
      </w:pPr>
      <w:r>
        <w:rPr>
          <w:b/>
          <w:bCs/>
          <w:color w:val="222222"/>
          <w:sz w:val="21"/>
          <w:szCs w:val="21"/>
        </w:rPr>
        <w:t xml:space="preserve">The fixed workflow path is preserved as a spine. </w:t>
      </w:r>
      <w:r>
        <w:rPr>
          <w:color w:val="222222"/>
          <w:sz w:val="21"/>
          <w:szCs w:val="21"/>
        </w:rPr>
        <w:t xml:space="preserve">Government Unit → Office → Core Function → Primary Duty → Transaction → Record → Governance Requirements remains the backbone; the graph hangs the governance detail off the Record and Data Element nodes.</w:t>
      </w:r>
    </w:p>
    <w:p>
      <w:pPr>
        <w:spacing w:after="80"/>
      </w:pP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The payoff</w:t>
            </w:r>
          </w:p>
          <w:p>
            <w:pPr>
              <w:spacing w:after="0" w:line="264"/>
            </w:pPr>
            <w:r>
              <w:rPr>
                <w:color w:val="333333"/>
                <w:sz w:val="20"/>
                <w:szCs w:val="20"/>
              </w:rPr>
              <w:t xml:space="preserve">Because data types, laws, classifications, and retention rules are shared nodes rather than copied text, a model for a new transaction is mostly a matter of connecting existing nodes — not authoring from scratch. That is the mechanism behind “scalability across thousands of governmental functions.”</w:t>
            </w:r>
          </w:p>
        </w:tc>
      </w:tr>
    </w:tbl>
    <w:p>
      <w:r>
        <w:br w:type="page"/>
      </w:r>
    </w:p>
    <w:p>
      <w:pPr>
        <w:pStyle w:val="Heading1"/>
      </w:pPr>
      <w:r>
        <w:t xml:space="preserve">2.  Node Catalog</w:t>
      </w:r>
    </w:p>
    <w:p>
      <w:pPr>
        <w:spacing w:after="130" w:line="274"/>
        <w:jc w:val="left"/>
      </w:pPr>
      <w:r>
        <w:rPr>
          <w:color w:val="222222"/>
          <w:sz w:val="21"/>
          <w:szCs w:val="21"/>
        </w:rPr>
        <w:t xml:space="preserve">The schema defines </w:t>
      </w:r>
      <w:r>
        <w:rPr>
          <w:b/>
          <w:bCs/>
          <w:color w:val="222222"/>
          <w:sz w:val="21"/>
          <w:szCs w:val="21"/>
        </w:rPr>
        <w:t xml:space="preserve">two families of nodes</w:t>
      </w:r>
      <w:r>
        <w:rPr>
          <w:color w:val="222222"/>
          <w:sz w:val="21"/>
          <w:szCs w:val="21"/>
        </w:rPr>
        <w:t xml:space="preserve">: the structural spine (the workflow path) and the governance nodes (the requirements that hang off it), plus a small set of meta nodes for versioning and oversight.</w:t>
      </w:r>
    </w:p>
    <w:p>
      <w:pPr>
        <w:pStyle w:val="Heading2"/>
      </w:pPr>
      <w:r>
        <w:t xml:space="preserve">2.1  Structural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rPr>
          <w:tblHeader/>
        </w:trPr>
        <w:tc>
          <w:tcPr>
            <w:tcW w:type="dxa" w:w="24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Node label</w:t>
            </w:r>
          </w:p>
        </w:tc>
        <w:tc>
          <w:tcPr>
            <w:tcW w:type="dxa" w:w="306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Purpose</w:t>
            </w:r>
          </w:p>
        </w:tc>
        <w:tc>
          <w:tcPr>
            <w:tcW w:type="dxa" w:w="3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Key properties</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:GovernmentUnit</w:t>
            </w:r>
          </w:p>
        </w:tc>
        <w:tc>
          <w:tcPr>
            <w:tcW w:type="dxa" w:w="30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entity that collects data.</w:t>
            </w:r>
          </w:p>
        </w:tc>
        <w:tc>
          <w:tcPr>
            <w:tcW w:type="dxa" w:w="3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unitId, name, type {County|Municipality|StateAgency|SchoolDistrict|SpecialDistrict}, jurisdiction</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:Office</w:t>
            </w:r>
          </w:p>
        </w:tc>
        <w:tc>
          <w:tcPr>
            <w:tcW w:type="dxa" w:w="30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The office within the unit.</w:t>
            </w:r>
          </w:p>
        </w:tc>
        <w:tc>
          <w:tcPr>
            <w:tcW w:type="dxa" w:w="3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officeId, name, officerTitle</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:CoreFunction</w:t>
            </w:r>
          </w:p>
        </w:tc>
        <w:tc>
          <w:tcPr>
            <w:tcW w:type="dxa" w:w="30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A mandate of the office.</w:t>
            </w:r>
          </w:p>
        </w:tc>
        <w:tc>
          <w:tcPr>
            <w:tcW w:type="dxa" w:w="3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functionId, name, description</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:PrimaryDuty</w:t>
            </w:r>
          </w:p>
        </w:tc>
        <w:tc>
          <w:tcPr>
            <w:tcW w:type="dxa" w:w="30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A duty performed under the function.</w:t>
            </w:r>
          </w:p>
        </w:tc>
        <w:tc>
          <w:tcPr>
            <w:tcW w:type="dxa" w:w="3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dutyId, name, mandatory(bool)</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:Transaction</w:t>
            </w:r>
          </w:p>
        </w:tc>
        <w:tc>
          <w:tcPr>
            <w:tcW w:type="dxa" w:w="30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citizen-facing event.</w:t>
            </w:r>
          </w:p>
        </w:tc>
        <w:tc>
          <w:tcPr>
            <w:tcW w:type="dxa" w:w="3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transactionId, name, channel, frequency</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:Record</w:t>
            </w:r>
          </w:p>
        </w:tc>
        <w:tc>
          <w:tcPr>
            <w:tcW w:type="dxa" w:w="30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A record/dataset the transaction creates.</w:t>
            </w:r>
          </w:p>
        </w:tc>
        <w:tc>
          <w:tcPr>
            <w:tcW w:type="dxa" w:w="3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recordId, name, recordType {Form|Certificate|Derived|Log}, isPublicFacing(bool)</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:DataElement</w:t>
            </w:r>
          </w:p>
        </w:tc>
        <w:tc>
          <w:tcPr>
            <w:tcW w:type="dxa" w:w="30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One PII field instance in a record.</w:t>
            </w:r>
          </w:p>
        </w:tc>
        <w:tc>
          <w:tcPr>
            <w:tcW w:type="dxa" w:w="3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elementId, label, required(bool), minimizationStatus {Necessary|Discretionary|Excessive}, justification</w:t>
            </w:r>
          </w:p>
        </w:tc>
      </w:tr>
    </w:tbl>
    <w:p>
      <w:pPr>
        <w:spacing w:after="100"/>
      </w:pPr>
    </w:p>
    <w:p>
      <w:pPr>
        <w:pStyle w:val="Heading2"/>
      </w:pPr>
      <w:r>
        <w:t xml:space="preserve">2.2  Governance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Node label</w:t>
            </w:r>
          </w:p>
        </w:tc>
        <w:tc>
          <w:tcPr>
            <w:tcW w:type="dxa" w:w="276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Purpose</w:t>
            </w:r>
          </w:p>
        </w:tc>
        <w:tc>
          <w:tcPr>
            <w:tcW w:type="dxa" w:w="42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Key properties</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:CanonicalDataType</w:t>
            </w:r>
          </w:p>
        </w:tc>
        <w:tc>
          <w:tcPr>
            <w:tcW w:type="dxa" w:w="27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shared, entity-independent data concept (the comparison anchor).</w:t>
            </w:r>
          </w:p>
        </w:tc>
        <w:tc>
          <w:tcPr>
            <w:tcW w:type="dxa" w:w="42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typeId, name (e.g. “SSN”), category {Identifier|Contact|Demographic|Financial|Biometric|Sensitive}, defaultSensitivity</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:LegalAuthority</w:t>
            </w:r>
          </w:p>
        </w:tc>
        <w:tc>
          <w:tcPr>
            <w:tcW w:type="dxa" w:w="27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A citeable source of authority.</w:t>
            </w:r>
          </w:p>
        </w:tc>
        <w:tc>
          <w:tcPr>
            <w:tcW w:type="dxa" w:w="42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authorityId, citation, title, type {Statute|FederalLaw|AdminRule|Ordinance}, jurisdiction, effectiveDate, sourceUrl, version</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:PurposeOfProcessing</w:t>
            </w:r>
          </w:p>
        </w:tc>
        <w:tc>
          <w:tcPr>
            <w:tcW w:type="dxa" w:w="27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Why data is processed.</w:t>
            </w:r>
          </w:p>
        </w:tc>
        <w:tc>
          <w:tcPr>
            <w:tcW w:type="dxa" w:w="42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purposeId, statement, lawfulBasis</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:UseOfData</w:t>
            </w:r>
          </w:p>
        </w:tc>
        <w:tc>
          <w:tcPr>
            <w:tcW w:type="dxa" w:w="27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How data is used.</w:t>
            </w:r>
          </w:p>
        </w:tc>
        <w:tc>
          <w:tcPr>
            <w:tcW w:type="dxa" w:w="42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useId, description, scope {Internal|SharedExternal}, recipients</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:Classification</w:t>
            </w:r>
          </w:p>
        </w:tc>
        <w:tc>
          <w:tcPr>
            <w:tcW w:type="dxa" w:w="27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records classification.</w:t>
            </w:r>
          </w:p>
        </w:tc>
        <w:tc>
          <w:tcPr>
            <w:tcW w:type="dxa" w:w="42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classId, level {Public|Private|Protected|Controlled|Exempt}, rationale</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:RetentionRule</w:t>
            </w:r>
          </w:p>
        </w:tc>
        <w:tc>
          <w:tcPr>
            <w:tcW w:type="dxa" w:w="27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Retention &amp; disposition.</w:t>
            </w:r>
          </w:p>
        </w:tc>
        <w:tc>
          <w:tcPr>
            <w:tcW w:type="dxa" w:w="42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ruleId, scheduleRef, retentionPeriod, trigger, disposition {Destroy|Archive|Transfer}</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:DecisionPoint</w:t>
            </w:r>
          </w:p>
        </w:tc>
        <w:tc>
          <w:tcPr>
            <w:tcW w:type="dxa" w:w="27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Where a decision is made.</w:t>
            </w:r>
          </w:p>
        </w:tc>
        <w:tc>
          <w:tcPr>
            <w:tcW w:type="dxa" w:w="42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decisionId, name, decisionType {Eligibility|Approval|Denial|Licensing}, humanRequired(bool)</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:RedactionRule</w:t>
            </w:r>
          </w:p>
        </w:tc>
        <w:tc>
          <w:tcPr>
            <w:tcW w:type="dxa" w:w="27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What to remove before public release.</w:t>
            </w:r>
          </w:p>
        </w:tc>
        <w:tc>
          <w:tcPr>
            <w:tcW w:type="dxa" w:w="42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redactionId, method {Mask|Remove|Summarize}, condition, basis</w:t>
            </w:r>
          </w:p>
        </w:tc>
      </w:tr>
    </w:tbl>
    <w:p>
      <w:pPr>
        <w:spacing w:after="100"/>
      </w:pPr>
    </w:p>
    <w:p>
      <w:pPr>
        <w:pStyle w:val="Heading2"/>
      </w:pPr>
      <w:r>
        <w:t xml:space="preserve">2.3  Meta nodes (governance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Node label</w:t>
            </w:r>
          </w:p>
        </w:tc>
        <w:tc>
          <w:tcPr>
            <w:tcW w:type="dxa" w:w="326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Purpose</w:t>
            </w:r>
          </w:p>
        </w:tc>
        <w:tc>
          <w:tcPr>
            <w:tcW w:type="dxa" w:w="37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Key properties</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:GovernanceModel</w:t>
            </w:r>
          </w:p>
        </w:tc>
        <w:tc>
          <w:tcPr>
            <w:tcW w:type="dxa" w:w="32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container for one subject's model.</w:t>
            </w:r>
          </w:p>
        </w:tc>
        <w:tc>
          <w:tcPr>
            <w:tcW w:type="dxa" w:w="3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modelId, subject, unitId, status {Draft|InReview|Published}</w:t>
            </w:r>
          </w:p>
        </w:tc>
      </w:tr>
      <w:tr>
        <w:tc>
          <w:tcPr>
            <w:tcW w:type="dxa" w:w="24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:ModelVersion</w:t>
            </w:r>
          </w:p>
        </w:tc>
        <w:tc>
          <w:tcPr>
            <w:tcW w:type="dxa" w:w="32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A published version + diff.</w:t>
            </w:r>
          </w:p>
        </w:tc>
        <w:tc>
          <w:tcPr>
            <w:tcW w:type="dxa" w:w="3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versionId, versionNo, createdAt, changeSummary</w:t>
            </w:r>
          </w:p>
        </w:tc>
      </w:tr>
      <w:tr>
        <w:tc>
          <w:tcPr>
            <w:tcW w:type="dxa" w:w="24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rFonts w:ascii="Consolas" w:cs="Consolas" w:eastAsia="Consolas" w:hAnsi="Consolas"/>
                <w:color w:val="1F3864"/>
                <w:sz w:val="18"/>
                <w:szCs w:val="18"/>
              </w:rPr>
              <w:t xml:space="preserve">:Reviewer</w:t>
            </w:r>
          </w:p>
        </w:tc>
        <w:tc>
          <w:tcPr>
            <w:tcW w:type="dxa" w:w="32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The accountable human.</w:t>
            </w:r>
          </w:p>
        </w:tc>
        <w:tc>
          <w:tcPr>
            <w:tcW w:type="dxa" w:w="3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personId, name, role {RecordsOfficer|PrivacyOfficer|Archivist}, approvedAt</w:t>
            </w:r>
          </w:p>
        </w:tc>
      </w:tr>
    </w:tbl>
    <w:p>
      <w:r>
        <w:br w:type="page"/>
      </w:r>
    </w:p>
    <w:p>
      <w:pPr>
        <w:pStyle w:val="Heading1"/>
      </w:pPr>
      <w:r>
        <w:t xml:space="preserve">3.  Relationship Catalog</w:t>
      </w:r>
    </w:p>
    <w:p>
      <w:pPr>
        <w:spacing w:after="130" w:line="274"/>
        <w:jc w:val="left"/>
      </w:pPr>
      <w:r>
        <w:rPr>
          <w:b w:val="false"/>
          <w:bCs w:val="false"/>
          <w:i w:val="false"/>
          <w:iCs w:val="false"/>
          <w:color w:val="222222"/>
          <w:sz w:val="21"/>
          <w:szCs w:val="21"/>
        </w:rPr>
        <w:t xml:space="preserve">Edges carry the governance semantics. The spine relationships rebuild the workflow path; the governance relationships connect data to the rules that govern it.</w:t>
      </w:r>
    </w:p>
    <w:p>
      <w:pPr>
        <w:pStyle w:val="Heading2"/>
      </w:pPr>
      <w:r>
        <w:t xml:space="preserve">3.1  Spine edges</w:t>
      </w:r>
    </w:p>
    <w:tbl>
      <w:tblPr>
        <w:tblW w:type="dxa" w:w="9360"/>
        <w:tblBorders>
          <w:top w:val="single" w:color="C7D2E5" w:sz="1"/>
          <w:left w:val="single" w:color="4472C4" w:sz="12"/>
          <w:bottom w:val="single" w:color="C7D2E5" w:sz="1"/>
          <w:right w:val="single" w:color="C7D2E5" w:sz="1"/>
          <w:insideH w:val="single" w:color="auto" w:sz="4"/>
          <w:insideV w:val="single" w:color="auto" w:sz="4"/>
        </w:tblBorders>
      </w:tblPr>
      <w:tblGrid>
        <w:gridCol w:w="9360"/>
      </w:tblGrid>
      <w:tr>
        <w:tc>
          <w:tcPr>
            <w:shd w:fill="F4F6FA" w:val="clear"/>
            <w:tcMar>
              <w:top w:type="dxa" w:w="120"/>
              <w:left w:type="dxa" w:w="160"/>
              <w:bottom w:type="dxa" w:w="120"/>
              <w:right w:type="dxa" w:w="140"/>
            </w:tcMar>
          </w:tcPr>
          <w:p>
            <w:pPr>
              <w:spacing w:after="20" w:line="240"/>
            </w:pPr>
            <w:r>
              <w:rPr>
                <w:rFonts w:ascii="Consolas" w:cs="Consolas" w:eastAsia="Consolas" w:hAnsi="Consolas"/>
                <w:color w:val="1F3864"/>
                <w:sz w:val="17"/>
                <w:szCs w:val="17"/>
              </w:rPr>
              <w:t xml:space="preserve">(:GovernmentUnit)   -[:HAS_OFFICE]-&gt;     (:Office)</w:t>
            </w:r>
          </w:p>
          <w:p>
            <w:pPr>
              <w:spacing w:after="20" w:line="240"/>
            </w:pPr>
            <w:r>
              <w:rPr>
                <w:rFonts w:ascii="Consolas" w:cs="Consolas" w:eastAsia="Consolas" w:hAnsi="Consolas"/>
                <w:color w:val="1F3864"/>
                <w:sz w:val="17"/>
                <w:szCs w:val="17"/>
              </w:rPr>
              <w:t xml:space="preserve">(:Office)           -[:PERFORMS]-&gt;       (:CoreFunction)</w:t>
            </w:r>
          </w:p>
          <w:p>
            <w:pPr>
              <w:spacing w:after="20" w:line="240"/>
            </w:pPr>
            <w:r>
              <w:rPr>
                <w:rFonts w:ascii="Consolas" w:cs="Consolas" w:eastAsia="Consolas" w:hAnsi="Consolas"/>
                <w:color w:val="1F3864"/>
                <w:sz w:val="17"/>
                <w:szCs w:val="17"/>
              </w:rPr>
              <w:t xml:space="preserve">(:CoreFunction)     -[:INCLUDES]-&gt;       (:PrimaryDuty)</w:t>
            </w:r>
          </w:p>
          <w:p>
            <w:pPr>
              <w:spacing w:after="20" w:line="240"/>
            </w:pPr>
            <w:r>
              <w:rPr>
                <w:rFonts w:ascii="Consolas" w:cs="Consolas" w:eastAsia="Consolas" w:hAnsi="Consolas"/>
                <w:color w:val="1F3864"/>
                <w:sz w:val="17"/>
                <w:szCs w:val="17"/>
              </w:rPr>
              <w:t xml:space="preserve">(:PrimaryDuty)      -[:EXECUTED_VIA]-&gt;   (:Transaction)</w:t>
            </w:r>
          </w:p>
          <w:p>
            <w:pPr>
              <w:spacing w:after="20" w:line="240"/>
            </w:pPr>
            <w:r>
              <w:rPr>
                <w:rFonts w:ascii="Consolas" w:cs="Consolas" w:eastAsia="Consolas" w:hAnsi="Consolas"/>
                <w:color w:val="1F3864"/>
                <w:sz w:val="17"/>
                <w:szCs w:val="17"/>
              </w:rPr>
              <w:t xml:space="preserve">(:Transaction)      -[:PRODUCES]-&gt;       (:Record)</w:t>
            </w:r>
          </w:p>
          <w:p>
            <w:pPr>
              <w:spacing w:after="0" w:line="240"/>
            </w:pPr>
            <w:r>
              <w:rPr>
                <w:rFonts w:ascii="Consolas" w:cs="Consolas" w:eastAsia="Consolas" w:hAnsi="Consolas"/>
                <w:color w:val="1F3864"/>
                <w:sz w:val="17"/>
                <w:szCs w:val="17"/>
              </w:rPr>
              <w:t xml:space="preserve">(:Record)           -[:CONTAINS]-&gt;       (:DataElement)</w:t>
            </w:r>
          </w:p>
        </w:tc>
      </w:tr>
    </w:tbl>
    <w:p>
      <w:pPr>
        <w:spacing w:after="80"/>
      </w:pPr>
    </w:p>
    <w:p>
      <w:pPr>
        <w:pStyle w:val="Heading2"/>
      </w:pPr>
      <w:r>
        <w:t xml:space="preserve">3.2  Governance edges</w:t>
      </w:r>
    </w:p>
    <w:tbl>
      <w:tblPr>
        <w:tblW w:type="dxa" w:w="9360"/>
        <w:tblBorders>
          <w:top w:val="single" w:color="C7D2E5" w:sz="1"/>
          <w:left w:val="single" w:color="4472C4" w:sz="12"/>
          <w:bottom w:val="single" w:color="C7D2E5" w:sz="1"/>
          <w:right w:val="single" w:color="C7D2E5" w:sz="1"/>
          <w:insideH w:val="single" w:color="auto" w:sz="4"/>
          <w:insideV w:val="single" w:color="auto" w:sz="4"/>
        </w:tblBorders>
      </w:tblPr>
      <w:tblGrid>
        <w:gridCol w:w="9360"/>
      </w:tblGrid>
      <w:tr>
        <w:tc>
          <w:tcPr>
            <w:shd w:fill="F4F6FA" w:val="clear"/>
            <w:tcMar>
              <w:top w:type="dxa" w:w="120"/>
              <w:left w:type="dxa" w:w="160"/>
              <w:bottom w:type="dxa" w:w="120"/>
              <w:right w:type="dxa" w:w="140"/>
            </w:tcMar>
          </w:tcPr>
          <w:p>
            <w:pPr>
              <w:spacing w:after="20" w:line="240"/>
            </w:pPr>
            <w:r>
              <w:rPr>
                <w:rFonts w:ascii="Consolas" w:cs="Consolas" w:eastAsia="Consolas" w:hAnsi="Consolas"/>
                <w:color w:val="1F3864"/>
                <w:sz w:val="17"/>
                <w:szCs w:val="17"/>
              </w:rPr>
              <w:t xml:space="preserve">(:DataElement)  -[:INSTANCE_OF]-&gt;     (:CanonicalDataType)   // the comparison key</w:t>
            </w:r>
          </w:p>
          <w:p>
            <w:pPr>
              <w:spacing w:after="20" w:line="240"/>
            </w:pPr>
            <w:r>
              <w:rPr>
                <w:rFonts w:ascii="Consolas" w:cs="Consolas" w:eastAsia="Consolas" w:hAnsi="Consolas"/>
                <w:color w:val="1F3864"/>
                <w:sz w:val="17"/>
                <w:szCs w:val="17"/>
              </w:rPr>
              <w:t xml:space="preserve">(:DataElement)  -[:CLASSIFIED_AS]-&gt;   (:Classification)</w:t>
            </w:r>
          </w:p>
          <w:p>
            <w:pPr>
              <w:spacing w:after="20" w:line="240"/>
            </w:pPr>
            <w:r>
              <w:rPr>
                <w:rFonts w:ascii="Consolas" w:cs="Consolas" w:eastAsia="Consolas" w:hAnsi="Consolas"/>
                <w:color w:val="1F3864"/>
                <w:sz w:val="17"/>
                <w:szCs w:val="17"/>
              </w:rPr>
              <w:t xml:space="preserve">(:DataElement)  -[:USED_FOR]-&gt;        (:UseOfData)</w:t>
            </w:r>
          </w:p>
          <w:p>
            <w:pPr>
              <w:spacing w:after="20" w:line="240"/>
            </w:pPr>
            <w:r>
              <w:rPr>
                <w:rFonts w:ascii="Consolas" w:cs="Consolas" w:eastAsia="Consolas" w:hAnsi="Consolas"/>
                <w:color w:val="1F3864"/>
                <w:sz w:val="17"/>
                <w:szCs w:val="17"/>
              </w:rPr>
              <w:t xml:space="preserve">(:UseOfData)    -[:SERVES]-&gt;          (:PurposeOfProcessing)</w:t>
            </w:r>
          </w:p>
          <w:p>
            <w:pPr>
              <w:spacing w:after="20" w:line="240"/>
            </w:pPr>
            <w:r>
              <w:rPr>
                <w:rFonts w:ascii="Consolas" w:cs="Consolas" w:eastAsia="Consolas" w:hAnsi="Consolas"/>
                <w:color w:val="1F3864"/>
                <w:sz w:val="17"/>
                <w:szCs w:val="17"/>
              </w:rPr>
              <w:t xml:space="preserve">(:DataElement)  -[:AUTHORIZED_BY]-&gt;   (:LegalAuthority)</w:t>
            </w:r>
          </w:p>
          <w:p>
            <w:pPr>
              <w:spacing w:after="20" w:line="240"/>
            </w:pPr>
            <w:r>
              <w:rPr>
                <w:rFonts w:ascii="Consolas" w:cs="Consolas" w:eastAsia="Consolas" w:hAnsi="Consolas"/>
                <w:color w:val="1F3864"/>
                <w:sz w:val="17"/>
                <w:szCs w:val="17"/>
              </w:rPr>
              <w:t xml:space="preserve">(:DataElement)  -[:REQUIRES]-&gt;        (:RedactionRule)</w:t>
            </w:r>
          </w:p>
          <w:p>
            <w:pPr>
              <w:spacing w:after="20" w:line="240"/>
            </w:pPr>
            <w:r>
              <w:rPr>
                <w:rFonts w:ascii="Consolas" w:cs="Consolas" w:eastAsia="Consolas" w:hAnsi="Consolas"/>
                <w:color w:val="1F3864"/>
                <w:sz w:val="17"/>
                <w:szCs w:val="17"/>
              </w:rPr>
              <w:t xml:space="preserve">(:Record)       -[:GOVERNED_BY]-&gt;     (:RetentionRule)</w:t>
            </w:r>
          </w:p>
          <w:p>
            <w:pPr>
              <w:spacing w:after="20" w:line="240"/>
            </w:pPr>
            <w:r>
              <w:rPr>
                <w:rFonts w:ascii="Consolas" w:cs="Consolas" w:eastAsia="Consolas" w:hAnsi="Consolas"/>
                <w:color w:val="1F3864"/>
                <w:sz w:val="17"/>
                <w:szCs w:val="17"/>
              </w:rPr>
              <w:t xml:space="preserve">(:Transaction)  -[:AUTHORIZED_BY]-&gt;   (:LegalAuthority)</w:t>
            </w:r>
          </w:p>
          <w:p>
            <w:pPr>
              <w:spacing w:after="20" w:line="240"/>
            </w:pPr>
            <w:r>
              <w:rPr>
                <w:rFonts w:ascii="Consolas" w:cs="Consolas" w:eastAsia="Consolas" w:hAnsi="Consolas"/>
                <w:color w:val="1F3864"/>
                <w:sz w:val="17"/>
                <w:szCs w:val="17"/>
              </w:rPr>
              <w:t xml:space="preserve">(:Transaction)  -[:HAS_DECISION]-&gt;    (:DecisionPoint)</w:t>
            </w:r>
          </w:p>
          <w:p>
            <w:pPr>
              <w:spacing w:after="20" w:line="240"/>
            </w:pPr>
            <w:r>
              <w:rPr>
                <w:rFonts w:ascii="Consolas" w:cs="Consolas" w:eastAsia="Consolas" w:hAnsi="Consolas"/>
                <w:color w:val="1F3864"/>
                <w:sz w:val="17"/>
                <w:szCs w:val="17"/>
              </w:rPr>
              <w:t xml:space="preserve">(:Classification)-[:BASIS]-&gt;          (:LegalAuthority)</w:t>
            </w:r>
          </w:p>
          <w:p>
            <w:pPr>
              <w:spacing w:after="0" w:line="240"/>
            </w:pPr>
            <w:r>
              <w:rPr>
                <w:rFonts w:ascii="Consolas" w:cs="Consolas" w:eastAsia="Consolas" w:hAnsi="Consolas"/>
                <w:color w:val="1F3864"/>
                <w:sz w:val="17"/>
                <w:szCs w:val="17"/>
              </w:rPr>
              <w:t xml:space="preserve">(:RetentionRule)-[:DEFINED_BY]-&gt;      (:LegalAuthority)</w:t>
            </w:r>
          </w:p>
        </w:tc>
      </w:tr>
    </w:tbl>
    <w:p>
      <w:pPr>
        <w:spacing w:after="80"/>
      </w:pPr>
    </w:p>
    <w:p>
      <w:pPr>
        <w:pStyle w:val="Heading2"/>
      </w:pPr>
      <w:r>
        <w:t xml:space="preserve">3.3  Lifecycle / provenance edges</w:t>
      </w:r>
    </w:p>
    <w:tbl>
      <w:tblPr>
        <w:tblW w:type="dxa" w:w="9360"/>
        <w:tblBorders>
          <w:top w:val="single" w:color="C7D2E5" w:sz="1"/>
          <w:left w:val="single" w:color="4472C4" w:sz="12"/>
          <w:bottom w:val="single" w:color="C7D2E5" w:sz="1"/>
          <w:right w:val="single" w:color="C7D2E5" w:sz="1"/>
          <w:insideH w:val="single" w:color="auto" w:sz="4"/>
          <w:insideV w:val="single" w:color="auto" w:sz="4"/>
        </w:tblBorders>
      </w:tblPr>
      <w:tblGrid>
        <w:gridCol w:w="9360"/>
      </w:tblGrid>
      <w:tr>
        <w:tc>
          <w:tcPr>
            <w:shd w:fill="F4F6FA" w:val="clear"/>
            <w:tcMar>
              <w:top w:type="dxa" w:w="120"/>
              <w:left w:type="dxa" w:w="160"/>
              <w:bottom w:type="dxa" w:w="120"/>
              <w:right w:type="dxa" w:w="140"/>
            </w:tcMar>
          </w:tcPr>
          <w:p>
            <w:pPr>
              <w:spacing w:after="20" w:line="240"/>
            </w:pPr>
            <w:r>
              <w:rPr>
                <w:rFonts w:ascii="Consolas" w:cs="Consolas" w:eastAsia="Consolas" w:hAnsi="Consolas"/>
                <w:color w:val="1F3864"/>
                <w:sz w:val="17"/>
                <w:szCs w:val="17"/>
              </w:rPr>
              <w:t xml:space="preserve">(:GovernanceModel) -[:DESCRIBES]-&gt;   (:Transaction)</w:t>
            </w:r>
          </w:p>
          <w:p>
            <w:pPr>
              <w:spacing w:after="20" w:line="240"/>
            </w:pPr>
            <w:r>
              <w:rPr>
                <w:rFonts w:ascii="Consolas" w:cs="Consolas" w:eastAsia="Consolas" w:hAnsi="Consolas"/>
                <w:color w:val="1F3864"/>
                <w:sz w:val="17"/>
                <w:szCs w:val="17"/>
              </w:rPr>
              <w:t xml:space="preserve">(:GovernanceModel) -[:HAS_VERSION]-&gt; (:ModelVersion)</w:t>
            </w:r>
          </w:p>
          <w:p>
            <w:pPr>
              <w:spacing w:after="20" w:line="240"/>
            </w:pPr>
            <w:r>
              <w:rPr>
                <w:rFonts w:ascii="Consolas" w:cs="Consolas" w:eastAsia="Consolas" w:hAnsi="Consolas"/>
                <w:color w:val="1F3864"/>
                <w:sz w:val="17"/>
                <w:szCs w:val="17"/>
              </w:rPr>
              <w:t xml:space="preserve">(:ModelVersion)    -[:APPROVED_BY]-&gt; (:Reviewer)</w:t>
            </w:r>
          </w:p>
          <w:p>
            <w:pPr>
              <w:spacing w:after="0" w:line="240"/>
            </w:pPr>
            <w:r>
              <w:rPr>
                <w:rFonts w:ascii="Consolas" w:cs="Consolas" w:eastAsia="Consolas" w:hAnsi="Consolas"/>
                <w:color w:val="1F3864"/>
                <w:sz w:val="17"/>
                <w:szCs w:val="17"/>
              </w:rPr>
              <w:t xml:space="preserve">(any node)         -[:CITES]-&gt;       (:LegalAuthority)   // provenance on every fact</w:t>
            </w:r>
          </w:p>
        </w:tc>
      </w:tr>
    </w:tbl>
    <w:p>
      <w:pPr>
        <w:spacing w:after="90"/>
      </w:pP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Reading the model</w:t>
            </w:r>
          </w:p>
          <w:p>
            <w:pPr>
              <w:spacing w:after="0" w:line="264"/>
            </w:pPr>
            <w:r>
              <w:rPr>
                <w:color w:val="333333"/>
                <w:sz w:val="20"/>
                <w:szCs w:val="20"/>
              </w:rPr>
              <w:t xml:space="preserve">To render the marriage-license model that officials see, you traverse from the GovernmentUnit down the spine to each DataElement, then follow that element's governance edges to collect its classification, use, purpose, authority, retention, and redaction. The document is a traversal; the graph is the source of truth.</w:t>
            </w:r>
          </w:p>
        </w:tc>
      </w:tr>
    </w:tbl>
    <w:p>
      <w:r>
        <w:br w:type="page"/>
      </w:r>
    </w:p>
    <w:p>
      <w:pPr>
        <w:pStyle w:val="Heading1"/>
      </w:pPr>
      <w:r>
        <w:t xml:space="preserve">4.  Worked Example A — Marriage License</w:t>
      </w:r>
    </w:p>
    <w:p>
      <w:pPr>
        <w:spacing w:after="130" w:line="274"/>
        <w:jc w:val="left"/>
      </w:pPr>
      <w:r>
        <w:rPr>
          <w:b/>
          <w:bCs/>
          <w:color w:val="222222"/>
          <w:sz w:val="21"/>
          <w:szCs w:val="21"/>
        </w:rPr>
        <w:t xml:space="preserve">Entity: </w:t>
      </w:r>
      <w:r>
        <w:rPr>
          <w:color w:val="222222"/>
          <w:sz w:val="21"/>
          <w:szCs w:val="21"/>
        </w:rPr>
        <w:t xml:space="preserve">Utah County (County) → </w:t>
      </w:r>
      <w:r>
        <w:rPr>
          <w:b/>
          <w:bCs/>
          <w:color w:val="222222"/>
          <w:sz w:val="21"/>
          <w:szCs w:val="21"/>
        </w:rPr>
        <w:t xml:space="preserve">Office: </w:t>
      </w:r>
      <w:r>
        <w:rPr>
          <w:color w:val="222222"/>
          <w:sz w:val="21"/>
          <w:szCs w:val="21"/>
        </w:rPr>
        <w:t xml:space="preserve">County Clerk → </w:t>
      </w:r>
      <w:r>
        <w:rPr>
          <w:b/>
          <w:bCs/>
          <w:color w:val="222222"/>
          <w:sz w:val="21"/>
          <w:szCs w:val="21"/>
        </w:rPr>
        <w:t xml:space="preserve">Function: </w:t>
      </w:r>
      <w:r>
        <w:rPr>
          <w:color w:val="222222"/>
          <w:sz w:val="21"/>
          <w:szCs w:val="21"/>
        </w:rPr>
        <w:t xml:space="preserve">Vital Records &amp; Licensing → </w:t>
      </w:r>
      <w:r>
        <w:rPr>
          <w:b/>
          <w:bCs/>
          <w:color w:val="222222"/>
          <w:sz w:val="21"/>
          <w:szCs w:val="21"/>
        </w:rPr>
        <w:t xml:space="preserve">Duty: </w:t>
      </w:r>
      <w:r>
        <w:rPr>
          <w:color w:val="222222"/>
          <w:sz w:val="21"/>
          <w:szCs w:val="21"/>
        </w:rPr>
        <w:t xml:space="preserve">Issue marriage licenses → </w:t>
      </w:r>
      <w:r>
        <w:rPr>
          <w:b/>
          <w:bCs/>
          <w:color w:val="222222"/>
          <w:sz w:val="21"/>
          <w:szCs w:val="21"/>
        </w:rPr>
        <w:t xml:space="preserve">Transaction: </w:t>
      </w:r>
      <w:r>
        <w:rPr>
          <w:color w:val="222222"/>
          <w:sz w:val="21"/>
          <w:szCs w:val="21"/>
        </w:rPr>
        <w:t xml:space="preserve">Marriage License Application &amp; Issuance.</w:t>
      </w:r>
    </w:p>
    <w:p>
      <w:pPr>
        <w:spacing w:after="130" w:line="274"/>
        <w:jc w:val="left"/>
      </w:pPr>
      <w:r>
        <w:rPr>
          <w:i/>
          <w:iCs/>
          <w:color w:val="595959"/>
          <w:sz w:val="18"/>
          <w:szCs w:val="18"/>
        </w:rPr>
        <w:t xml:space="preserve">Note: citations below are illustrative placeholders to show the schema's shape — verify exact code sections against current Utah Code and the applicable General Retention Schedule before use.</w:t>
      </w:r>
    </w:p>
    <w:p>
      <w:pPr>
        <w:pStyle w:val="Heading2"/>
      </w:pPr>
      <w:r>
        <w:t xml:space="preserve">4.1  Records produced</w:t>
      </w:r>
    </w:p>
    <w:p>
      <w:pPr>
        <w:pStyle w:val="ListParagraph"/>
        <w:numPr>
          <w:ilvl w:val="0"/>
          <w:numId w:val="2"/>
        </w:numPr>
        <w:spacing w:after="60" w:line="262"/>
      </w:pPr>
      <w:r>
        <w:rPr>
          <w:rFonts w:ascii="Consolas" w:cs="Consolas" w:eastAsia="Consolas" w:hAnsi="Consolas"/>
          <w:color w:val="1F3864"/>
          <w:sz w:val="18"/>
          <w:szCs w:val="18"/>
        </w:rPr>
        <w:t xml:space="preserve">:Record </w:t>
      </w:r>
      <w:r>
        <w:rPr>
          <w:color w:val="222222"/>
          <w:sz w:val="21"/>
          <w:szCs w:val="21"/>
        </w:rPr>
        <w:t xml:space="preserve">“Marriage License Application” (Form, not public-facing)</w:t>
      </w:r>
    </w:p>
    <w:p>
      <w:pPr>
        <w:pStyle w:val="ListParagraph"/>
        <w:numPr>
          <w:ilvl w:val="0"/>
          <w:numId w:val="2"/>
        </w:numPr>
        <w:spacing w:after="60" w:line="262"/>
      </w:pPr>
      <w:r>
        <w:rPr>
          <w:rFonts w:ascii="Consolas" w:cs="Consolas" w:eastAsia="Consolas" w:hAnsi="Consolas"/>
          <w:color w:val="1F3864"/>
          <w:sz w:val="18"/>
          <w:szCs w:val="18"/>
        </w:rPr>
        <w:t xml:space="preserve">:Record </w:t>
      </w:r>
      <w:r>
        <w:rPr>
          <w:color w:val="222222"/>
          <w:sz w:val="21"/>
          <w:szCs w:val="21"/>
        </w:rPr>
        <w:t xml:space="preserve">“Marriage License / Certificate” (Certificate, public-facing)</w:t>
      </w:r>
    </w:p>
    <w:p>
      <w:pPr>
        <w:pStyle w:val="Heading2"/>
      </w:pPr>
      <w:r>
        <w:t xml:space="preserve">4.2  Data elements and their governance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1380"/>
        <w:gridCol w:w="1900"/>
        <w:gridCol w:w="1580"/>
      </w:tblGrid>
      <w:tr>
        <w:trPr>
          <w:tblHeader/>
        </w:trPr>
        <w:tc>
          <w:tcPr>
            <w:tcW w:type="dxa" w:w="1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Data element</w:t>
            </w:r>
          </w:p>
        </w:tc>
        <w:tc>
          <w:tcPr>
            <w:tcW w:type="dxa" w:w="17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Canonical type</w:t>
            </w:r>
          </w:p>
        </w:tc>
        <w:tc>
          <w:tcPr>
            <w:tcW w:type="dxa" w:w="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Class.</w:t>
            </w:r>
          </w:p>
        </w:tc>
        <w:tc>
          <w:tcPr>
            <w:tcW w:type="dxa" w:w="138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Minimization</w:t>
            </w:r>
          </w:p>
        </w:tc>
        <w:tc>
          <w:tcPr>
            <w:tcW w:type="dxa" w:w="1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Authority (illus.)</w:t>
            </w:r>
          </w:p>
        </w:tc>
        <w:tc>
          <w:tcPr>
            <w:tcW w:type="dxa" w:w="158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Redact before release?</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Applicant legal name</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Full Legal Name</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Utah Code § 30-1-8</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No</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Date of birth</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Date of Birth</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Utah Code § 30-1-2 (age)</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Yes</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Social Security No.</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SSN</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42 U.S.C. § 666(a)(13)</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Yes</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Residential address</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Residential Address</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Utah Code § 30-1-8</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Yes</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Prior marriage status</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Marital History</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Utah Code § 30-1-2</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No</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Parents’ names</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Full Legal Name</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Discretionary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 (review necessity)</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No</w:t>
            </w:r>
          </w:p>
        </w:tc>
      </w:tr>
    </w:tbl>
    <w:p>
      <w:pPr>
        <w:spacing w:after="90"/>
      </w:pPr>
    </w:p>
    <w:p>
      <w:pPr>
        <w:pStyle w:val="Heading2"/>
      </w:pPr>
      <w:r>
        <w:t xml:space="preserve">4.3  Process governance</w:t>
      </w:r>
    </w:p>
    <w:p>
      <w:pPr>
        <w:pStyle w:val="ListParagraph"/>
        <w:numPr>
          <w:ilvl w:val="0"/>
          <w:numId w:val="2"/>
        </w:numPr>
        <w:spacing w:after="60" w:line="262"/>
      </w:pPr>
      <w:r>
        <w:rPr>
          <w:rFonts w:ascii="Consolas" w:cs="Consolas" w:eastAsia="Consolas" w:hAnsi="Consolas"/>
          <w:color w:val="1F3864"/>
          <w:sz w:val="18"/>
          <w:szCs w:val="18"/>
        </w:rPr>
        <w:t xml:space="preserve">:DecisionPoint </w:t>
      </w:r>
      <w:r>
        <w:rPr>
          <w:color w:val="222222"/>
          <w:sz w:val="21"/>
          <w:szCs w:val="21"/>
        </w:rPr>
        <w:t xml:space="preserve">“Eligibility determination” (age, capacity, prohibited-relationship check) → Licensing decision; humanRequired = true.</w:t>
      </w:r>
    </w:p>
    <w:p>
      <w:pPr>
        <w:pStyle w:val="ListParagraph"/>
        <w:numPr>
          <w:ilvl w:val="0"/>
          <w:numId w:val="2"/>
        </w:numPr>
        <w:spacing w:after="60" w:line="262"/>
      </w:pPr>
      <w:r>
        <w:rPr>
          <w:rFonts w:ascii="Consolas" w:cs="Consolas" w:eastAsia="Consolas" w:hAnsi="Consolas"/>
          <w:color w:val="1F3864"/>
          <w:sz w:val="18"/>
          <w:szCs w:val="18"/>
        </w:rPr>
        <w:t xml:space="preserve">:RetentionRule </w:t>
      </w:r>
      <w:r>
        <w:rPr>
          <w:color w:val="222222"/>
          <w:sz w:val="21"/>
          <w:szCs w:val="21"/>
        </w:rPr>
        <w:t xml:space="preserve">Marriage records → typically permanent/archival (trigger: issuance; disposition: Archive) — confirm against GRS.</w:t>
      </w:r>
    </w:p>
    <w:p>
      <w:pPr>
        <w:pStyle w:val="ListParagraph"/>
        <w:numPr>
          <w:ilvl w:val="0"/>
          <w:numId w:val="2"/>
        </w:numPr>
        <w:spacing w:after="60" w:line="262"/>
      </w:pPr>
      <w:r>
        <w:rPr>
          <w:rFonts w:ascii="Consolas" w:cs="Consolas" w:eastAsia="Consolas" w:hAnsi="Consolas"/>
          <w:color w:val="1F3864"/>
          <w:sz w:val="18"/>
          <w:szCs w:val="18"/>
        </w:rPr>
        <w:t xml:space="preserve">:PurposeOfProcessing </w:t>
      </w:r>
      <w:r>
        <w:rPr>
          <w:color w:val="222222"/>
          <w:sz w:val="21"/>
          <w:szCs w:val="21"/>
        </w:rPr>
        <w:t xml:space="preserve">“Establish legal capacity to marry and create the public vital record.”</w:t>
      </w:r>
    </w:p>
    <w:p>
      <w:r>
        <w:br w:type="page"/>
      </w:r>
    </w:p>
    <w:p>
      <w:pPr>
        <w:pStyle w:val="Heading1"/>
      </w:pPr>
      <w:r>
        <w:t xml:space="preserve">5.  Worked Example B — Business License</w:t>
      </w:r>
    </w:p>
    <w:p>
      <w:pPr>
        <w:spacing w:after="130" w:line="274"/>
        <w:jc w:val="left"/>
      </w:pPr>
      <w:r>
        <w:rPr>
          <w:b/>
          <w:bCs/>
          <w:color w:val="222222"/>
          <w:sz w:val="21"/>
          <w:szCs w:val="21"/>
        </w:rPr>
        <w:t xml:space="preserve">Entity: </w:t>
      </w:r>
      <w:r>
        <w:rPr>
          <w:color w:val="222222"/>
          <w:sz w:val="21"/>
          <w:szCs w:val="21"/>
        </w:rPr>
        <w:t xml:space="preserve">Salt Lake City (</w:t>
      </w:r>
      <w:r>
        <w:rPr>
          <w:b/>
          <w:bCs/>
          <w:color w:val="222222"/>
          <w:sz w:val="21"/>
          <w:szCs w:val="21"/>
        </w:rPr>
        <w:t xml:space="preserve">Municipality</w:t>
      </w:r>
      <w:r>
        <w:rPr>
          <w:color w:val="222222"/>
          <w:sz w:val="21"/>
          <w:szCs w:val="21"/>
        </w:rPr>
        <w:t xml:space="preserve">) → </w:t>
      </w:r>
      <w:r>
        <w:rPr>
          <w:b/>
          <w:bCs/>
          <w:color w:val="222222"/>
          <w:sz w:val="21"/>
          <w:szCs w:val="21"/>
        </w:rPr>
        <w:t xml:space="preserve">Office: </w:t>
      </w:r>
      <w:r>
        <w:rPr>
          <w:color w:val="222222"/>
          <w:sz w:val="21"/>
          <w:szCs w:val="21"/>
        </w:rPr>
        <w:t xml:space="preserve">Business Licensing Division → </w:t>
      </w:r>
      <w:r>
        <w:rPr>
          <w:b/>
          <w:bCs/>
          <w:color w:val="222222"/>
          <w:sz w:val="21"/>
          <w:szCs w:val="21"/>
        </w:rPr>
        <w:t xml:space="preserve">Function: </w:t>
      </w:r>
      <w:r>
        <w:rPr>
          <w:color w:val="222222"/>
          <w:sz w:val="21"/>
          <w:szCs w:val="21"/>
        </w:rPr>
        <w:t xml:space="preserve">Business Regulation &amp; Licensing → </w:t>
      </w:r>
      <w:r>
        <w:rPr>
          <w:b/>
          <w:bCs/>
          <w:color w:val="222222"/>
          <w:sz w:val="21"/>
          <w:szCs w:val="21"/>
        </w:rPr>
        <w:t xml:space="preserve">Duty: </w:t>
      </w:r>
      <w:r>
        <w:rPr>
          <w:color w:val="222222"/>
          <w:sz w:val="21"/>
          <w:szCs w:val="21"/>
        </w:rPr>
        <w:t xml:space="preserve">Issue &amp; renew business licenses → </w:t>
      </w:r>
      <w:r>
        <w:rPr>
          <w:b/>
          <w:bCs/>
          <w:color w:val="222222"/>
          <w:sz w:val="21"/>
          <w:szCs w:val="21"/>
        </w:rPr>
        <w:t xml:space="preserve">Transaction: </w:t>
      </w:r>
      <w:r>
        <w:rPr>
          <w:color w:val="222222"/>
          <w:sz w:val="21"/>
          <w:szCs w:val="21"/>
        </w:rPr>
        <w:t xml:space="preserve">Business License Application &amp; Issuance.</w:t>
      </w:r>
    </w:p>
    <w:p>
      <w:pPr>
        <w:spacing w:after="130" w:line="274"/>
        <w:jc w:val="left"/>
      </w:pPr>
      <w:r>
        <w:rPr>
          <w:color w:val="222222"/>
          <w:sz w:val="21"/>
          <w:szCs w:val="21"/>
        </w:rPr>
        <w:t xml:space="preserve">Deliberately a </w:t>
      </w:r>
      <w:r>
        <w:rPr>
          <w:b/>
          <w:bCs/>
          <w:color w:val="222222"/>
          <w:sz w:val="21"/>
          <w:szCs w:val="21"/>
        </w:rPr>
        <w:t xml:space="preserve">different category of entity</w:t>
      </w:r>
      <w:r>
        <w:rPr>
          <w:color w:val="222222"/>
          <w:sz w:val="21"/>
          <w:szCs w:val="21"/>
        </w:rPr>
        <w:t xml:space="preserve"> (municipal, not county) so the model demonstrates the brief's extra-points item — county </w:t>
      </w:r>
      <w:r>
        <w:rPr>
          <w:b/>
          <w:bCs/>
          <w:color w:val="222222"/>
          <w:sz w:val="21"/>
          <w:szCs w:val="21"/>
        </w:rPr>
        <w:t xml:space="preserve">and</w:t>
      </w:r>
      <w:r>
        <w:rPr>
          <w:color w:val="222222"/>
          <w:sz w:val="21"/>
          <w:szCs w:val="21"/>
        </w:rPr>
        <w:t xml:space="preserve"> municipal models — and sets up the cross-entity comparison in Section 6.</w:t>
      </w:r>
    </w:p>
    <w:p>
      <w:pPr>
        <w:pStyle w:val="Heading2"/>
      </w:pPr>
      <w:r>
        <w:t xml:space="preserve">5.1  Records produced</w:t>
      </w:r>
    </w:p>
    <w:p>
      <w:pPr>
        <w:pStyle w:val="ListParagraph"/>
        <w:numPr>
          <w:ilvl w:val="0"/>
          <w:numId w:val="2"/>
        </w:numPr>
        <w:spacing w:after="60" w:line="262"/>
      </w:pPr>
      <w:r>
        <w:rPr>
          <w:rFonts w:ascii="Consolas" w:cs="Consolas" w:eastAsia="Consolas" w:hAnsi="Consolas"/>
          <w:color w:val="1F3864"/>
          <w:sz w:val="18"/>
          <w:szCs w:val="18"/>
        </w:rPr>
        <w:t xml:space="preserve">:Record </w:t>
      </w:r>
      <w:r>
        <w:rPr>
          <w:color w:val="222222"/>
          <w:sz w:val="21"/>
          <w:szCs w:val="21"/>
        </w:rPr>
        <w:t xml:space="preserve">“Business License Application” (Form, not public-facing)</w:t>
      </w:r>
    </w:p>
    <w:p>
      <w:pPr>
        <w:pStyle w:val="ListParagraph"/>
        <w:numPr>
          <w:ilvl w:val="0"/>
          <w:numId w:val="2"/>
        </w:numPr>
        <w:spacing w:after="60" w:line="262"/>
      </w:pPr>
      <w:r>
        <w:rPr>
          <w:rFonts w:ascii="Consolas" w:cs="Consolas" w:eastAsia="Consolas" w:hAnsi="Consolas"/>
          <w:color w:val="1F3864"/>
          <w:sz w:val="18"/>
          <w:szCs w:val="18"/>
        </w:rPr>
        <w:t xml:space="preserve">:Record </w:t>
      </w:r>
      <w:r>
        <w:rPr>
          <w:color w:val="222222"/>
          <w:sz w:val="21"/>
          <w:szCs w:val="21"/>
        </w:rPr>
        <w:t xml:space="preserve">“Business License Certificate” (Certificate, public-facing)</w:t>
      </w:r>
    </w:p>
    <w:p>
      <w:pPr>
        <w:pStyle w:val="Heading2"/>
      </w:pPr>
      <w:r>
        <w:t xml:space="preserve">5.2  Data elements and their governance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1380"/>
        <w:gridCol w:w="1900"/>
        <w:gridCol w:w="1580"/>
      </w:tblGrid>
      <w:tr>
        <w:trPr>
          <w:tblHeader/>
        </w:trPr>
        <w:tc>
          <w:tcPr>
            <w:tcW w:type="dxa" w:w="1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Data element</w:t>
            </w:r>
          </w:p>
        </w:tc>
        <w:tc>
          <w:tcPr>
            <w:tcW w:type="dxa" w:w="17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Canonical type</w:t>
            </w:r>
          </w:p>
        </w:tc>
        <w:tc>
          <w:tcPr>
            <w:tcW w:type="dxa" w:w="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Class.</w:t>
            </w:r>
          </w:p>
        </w:tc>
        <w:tc>
          <w:tcPr>
            <w:tcW w:type="dxa" w:w="138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Minimization</w:t>
            </w:r>
          </w:p>
        </w:tc>
        <w:tc>
          <w:tcPr>
            <w:tcW w:type="dxa" w:w="19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Authority (illus.)</w:t>
            </w:r>
          </w:p>
        </w:tc>
        <w:tc>
          <w:tcPr>
            <w:tcW w:type="dxa" w:w="158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Redact before release?</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Owner legal name</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Full Legal Name</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Utah Code Title 10 + ordinance</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No</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Owner date of birth</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Date of Birth</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Discretionary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local ordinance</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Yes</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Owner SSN / EIN</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SSN</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IRS / tax-ID rules</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Yes</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Business address</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Business Address</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Necessary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local ordinance</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No</w:t>
            </w:r>
          </w:p>
        </w:tc>
      </w:tr>
      <w:tr>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Owner home address</w:t>
            </w:r>
          </w:p>
        </w:tc>
        <w:tc>
          <w:tcPr>
            <w:tcW w:type="dxa" w:w="17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Residential Address</w:t>
            </w:r>
          </w:p>
        </w:tc>
        <w:tc>
          <w:tcPr>
            <w:tcW w:type="dxa" w:w="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Public</w:t>
            </w:r>
          </w:p>
        </w:tc>
        <w:tc>
          <w:tcPr>
            <w:tcW w:type="dxa" w:w="13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Discretionary</w:t>
            </w:r>
          </w:p>
        </w:tc>
        <w:tc>
          <w:tcPr>
            <w:tcW w:type="dxa" w:w="19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local ordinance</w:t>
            </w:r>
          </w:p>
        </w:tc>
        <w:tc>
          <w:tcPr>
            <w:tcW w:type="dxa" w:w="158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No</w:t>
            </w:r>
          </w:p>
        </w:tc>
      </w:tr>
      <w:tr>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Ownership %</w:t>
            </w:r>
          </w:p>
        </w:tc>
        <w:tc>
          <w:tcPr>
            <w:tcW w:type="dxa" w:w="17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Ownership Interest</w:t>
            </w:r>
          </w:p>
        </w:tc>
        <w:tc>
          <w:tcPr>
            <w:tcW w:type="dxa" w:w="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w:t>
            </w:r>
          </w:p>
        </w:tc>
        <w:tc>
          <w:tcPr>
            <w:tcW w:type="dxa" w:w="13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Discretionary</w:t>
            </w:r>
          </w:p>
        </w:tc>
        <w:tc>
          <w:tcPr>
            <w:tcW w:type="dxa" w:w="19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local ordinance</w:t>
            </w:r>
          </w:p>
        </w:tc>
        <w:tc>
          <w:tcPr>
            <w:tcW w:type="dxa" w:w="158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Yes</w:t>
            </w:r>
          </w:p>
        </w:tc>
      </w:tr>
    </w:tbl>
    <w:p>
      <w:pPr>
        <w:spacing w:after="90"/>
      </w:pPr>
    </w:p>
    <w:p>
      <w:pPr>
        <w:pStyle w:val="Heading2"/>
      </w:pPr>
      <w:r>
        <w:t xml:space="preserve">5.3  Process governance</w:t>
      </w:r>
    </w:p>
    <w:p>
      <w:pPr>
        <w:pStyle w:val="ListParagraph"/>
        <w:numPr>
          <w:ilvl w:val="0"/>
          <w:numId w:val="2"/>
        </w:numPr>
        <w:spacing w:after="60" w:line="262"/>
      </w:pPr>
      <w:r>
        <w:rPr>
          <w:rFonts w:ascii="Consolas" w:cs="Consolas" w:eastAsia="Consolas" w:hAnsi="Consolas"/>
          <w:color w:val="1F3864"/>
          <w:sz w:val="18"/>
          <w:szCs w:val="18"/>
        </w:rPr>
        <w:t xml:space="preserve">:DecisionPoint </w:t>
      </w:r>
      <w:r>
        <w:rPr>
          <w:color w:val="222222"/>
          <w:sz w:val="21"/>
          <w:szCs w:val="21"/>
        </w:rPr>
        <w:t xml:space="preserve">“Approval determination” (zoning, eligibility, background where applicable) → Licensing decision.</w:t>
      </w:r>
    </w:p>
    <w:p>
      <w:pPr>
        <w:pStyle w:val="ListParagraph"/>
        <w:numPr>
          <w:ilvl w:val="0"/>
          <w:numId w:val="2"/>
        </w:numPr>
        <w:spacing w:after="60" w:line="262"/>
      </w:pPr>
      <w:r>
        <w:rPr>
          <w:rFonts w:ascii="Consolas" w:cs="Consolas" w:eastAsia="Consolas" w:hAnsi="Consolas"/>
          <w:color w:val="1F3864"/>
          <w:sz w:val="18"/>
          <w:szCs w:val="18"/>
        </w:rPr>
        <w:t xml:space="preserve">:RetentionRule </w:t>
      </w:r>
      <w:r>
        <w:rPr>
          <w:color w:val="222222"/>
          <w:sz w:val="21"/>
          <w:szCs w:val="21"/>
        </w:rPr>
        <w:t xml:space="preserve">Business license records → typically retained a fixed term after expiration, then </w:t>
      </w:r>
      <w:r>
        <w:rPr>
          <w:b/>
          <w:bCs/>
          <w:color w:val="222222"/>
          <w:sz w:val="21"/>
          <w:szCs w:val="21"/>
        </w:rPr>
        <w:t xml:space="preserve">Destroy</w:t>
      </w:r>
      <w:r>
        <w:rPr>
          <w:color w:val="222222"/>
          <w:sz w:val="21"/>
          <w:szCs w:val="21"/>
        </w:rPr>
        <w:t xml:space="preserve"> (trigger: license expiration) — a legitimately </w:t>
      </w:r>
      <w:r>
        <w:rPr>
          <w:b/>
          <w:bCs/>
          <w:color w:val="222222"/>
          <w:sz w:val="21"/>
          <w:szCs w:val="21"/>
        </w:rPr>
        <w:t xml:space="preserve">different</w:t>
      </w:r>
      <w:r>
        <w:rPr>
          <w:color w:val="222222"/>
          <w:sz w:val="21"/>
          <w:szCs w:val="21"/>
        </w:rPr>
        <w:t xml:space="preserve"> disposition from marriage records.</w:t>
      </w:r>
    </w:p>
    <w:p>
      <w:r>
        <w:br w:type="page"/>
      </w:r>
    </w:p>
    <w:p>
      <w:pPr>
        <w:pStyle w:val="Heading1"/>
      </w:pPr>
      <w:r>
        <w:t xml:space="preserve">6.  The Payoff — Computing Equal Data Rights</w:t>
      </w:r>
    </w:p>
    <w:p>
      <w:pPr>
        <w:spacing w:after="130" w:line="274"/>
        <w:jc w:val="left"/>
      </w:pPr>
      <w:r>
        <w:rPr>
          <w:color w:val="222222"/>
          <w:sz w:val="21"/>
          <w:szCs w:val="21"/>
        </w:rPr>
        <w:t xml:space="preserve">Both models point their data elements at the </w:t>
      </w:r>
      <w:r>
        <w:rPr>
          <w:b/>
          <w:bCs/>
          <w:color w:val="222222"/>
          <w:sz w:val="21"/>
          <w:szCs w:val="21"/>
        </w:rPr>
        <w:t xml:space="preserve">same CanonicalDataType nodes</w:t>
      </w:r>
      <w:r>
        <w:rPr>
          <w:color w:val="222222"/>
          <w:sz w:val="21"/>
          <w:szCs w:val="21"/>
        </w:rPr>
        <w:t xml:space="preserve">. That shared anchor turns the brief's central policy question into a query. Look at two canonical types that appear in both models: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60"/>
        <w:gridCol w:w="2560"/>
        <w:gridCol w:w="1940"/>
      </w:tblGrid>
      <w:tr>
        <w:trPr>
          <w:tblHeader/>
        </w:trPr>
        <w:tc>
          <w:tcPr>
            <w:tcW w:type="dxa" w:w="230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Canonical type</w:t>
            </w:r>
          </w:p>
        </w:tc>
        <w:tc>
          <w:tcPr>
            <w:tcW w:type="dxa" w:w="256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Utah County (marriage)</w:t>
            </w:r>
          </w:p>
        </w:tc>
        <w:tc>
          <w:tcPr>
            <w:tcW w:type="dxa" w:w="256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Salt Lake City (business)</w:t>
            </w:r>
          </w:p>
        </w:tc>
        <w:tc>
          <w:tcPr>
            <w:tcW w:type="dxa" w:w="1940"/>
            <w:tcBorders>
              <w:top w:val="single" w:color="B7C3D8" w:sz="1"/>
              <w:left w:val="single" w:color="B7C3D8" w:sz="1"/>
              <w:bottom w:val="single" w:color="B7C3D8" w:sz="1"/>
              <w:right w:val="single" w:color="B7C3D8" w:sz="1"/>
            </w:tcBorders>
            <w:shd w:fill="1F3864" w:val="clear"/>
            <w:tcMar>
              <w:top w:type="dxa" w:w="70"/>
              <w:left w:type="dxa" w:w="100"/>
              <w:bottom w:type="dxa" w:w="70"/>
              <w:right w:type="dxa" w:w="100"/>
            </w:tcMar>
          </w:tcPr>
          <w:p>
            <w:r>
              <w:rPr>
                <w:b/>
                <w:bCs/>
                <w:color w:val="FFFFFF"/>
                <w:sz w:val="18"/>
                <w:szCs w:val="18"/>
              </w:rPr>
              <w:t xml:space="preserve">Inconsistency?</w:t>
            </w:r>
          </w:p>
        </w:tc>
      </w:tr>
      <w:tr>
        <w:tc>
          <w:tcPr>
            <w:tcW w:type="dxa" w:w="23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b/>
                <w:bCs/>
                <w:sz w:val="17"/>
                <w:szCs w:val="17"/>
              </w:rPr>
              <w:t xml:space="preserve">Residential Address</w:t>
            </w:r>
          </w:p>
        </w:tc>
        <w:tc>
          <w:tcPr>
            <w:tcW w:type="dxa" w:w="25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Private — redacted before release</w:t>
            </w:r>
          </w:p>
        </w:tc>
        <w:tc>
          <w:tcPr>
            <w:tcW w:type="dxa" w:w="25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Public — released as-is</w:t>
            </w:r>
          </w:p>
        </w:tc>
        <w:tc>
          <w:tcPr>
            <w:tcW w:type="dxa" w:w="194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b/>
                <w:bCs/>
                <w:color w:val="9E2B25"/>
                <w:sz w:val="17"/>
                <w:szCs w:val="17"/>
              </w:rPr>
              <w:t xml:space="preserve">YES — unequal</w:t>
            </w:r>
          </w:p>
        </w:tc>
      </w:tr>
      <w:tr>
        <w:tc>
          <w:tcPr>
            <w:tcW w:type="dxa" w:w="230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b/>
                <w:bCs/>
                <w:sz w:val="17"/>
                <w:szCs w:val="17"/>
              </w:rPr>
              <w:t xml:space="preserve">Date of Birth</w:t>
            </w:r>
          </w:p>
        </w:tc>
        <w:tc>
          <w:tcPr>
            <w:tcW w:type="dxa" w:w="25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 — Necessary</w:t>
            </w:r>
          </w:p>
        </w:tc>
        <w:tc>
          <w:tcPr>
            <w:tcW w:type="dxa" w:w="256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2A2A2A"/>
                <w:sz w:val="17"/>
                <w:szCs w:val="17"/>
              </w:rPr>
              <w:t xml:space="preserve">Private — Discretionary</w:t>
            </w:r>
          </w:p>
        </w:tc>
        <w:tc>
          <w:tcPr>
            <w:tcW w:type="dxa" w:w="1940"/>
            <w:tcBorders>
              <w:top w:val="single" w:color="B7C3D8" w:sz="1"/>
              <w:left w:val="single" w:color="B7C3D8" w:sz="1"/>
              <w:bottom w:val="single" w:color="B7C3D8" w:sz="1"/>
              <w:right w:val="single" w:color="B7C3D8" w:sz="1"/>
            </w:tcBorders>
            <w:shd w:fill="EAF0FA" w:val="clear"/>
            <w:tcMar>
              <w:top w:type="dxa" w:w="54"/>
              <w:left w:type="dxa" w:w="100"/>
              <w:bottom w:type="dxa" w:w="54"/>
              <w:right w:type="dxa" w:w="100"/>
            </w:tcMar>
          </w:tcPr>
          <w:p>
            <w:pPr>
              <w:spacing w:line="248"/>
            </w:pPr>
            <w:r>
              <w:rPr>
                <w:color w:val="9C6A00"/>
                <w:sz w:val="17"/>
                <w:szCs w:val="17"/>
              </w:rPr>
              <w:t xml:space="preserve">Partial (minimization differs)</w:t>
            </w:r>
          </w:p>
        </w:tc>
      </w:tr>
      <w:tr>
        <w:tc>
          <w:tcPr>
            <w:tcW w:type="dxa" w:w="230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b/>
                <w:bCs/>
                <w:sz w:val="17"/>
                <w:szCs w:val="17"/>
              </w:rPr>
              <w:t xml:space="preserve">SSN</w:t>
            </w:r>
          </w:p>
        </w:tc>
        <w:tc>
          <w:tcPr>
            <w:tcW w:type="dxa" w:w="25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Private — redacted</w:t>
            </w:r>
          </w:p>
        </w:tc>
        <w:tc>
          <w:tcPr>
            <w:tcW w:type="dxa" w:w="256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A2A2A"/>
                <w:sz w:val="17"/>
                <w:szCs w:val="17"/>
              </w:rPr>
              <w:t xml:space="preserve">Private — redacted</w:t>
            </w:r>
          </w:p>
        </w:tc>
        <w:tc>
          <w:tcPr>
            <w:tcW w:type="dxa" w:w="1940"/>
            <w:tcBorders>
              <w:top w:val="single" w:color="B7C3D8" w:sz="1"/>
              <w:left w:val="single" w:color="B7C3D8" w:sz="1"/>
              <w:bottom w:val="single" w:color="B7C3D8" w:sz="1"/>
              <w:right w:val="single" w:color="B7C3D8" w:sz="1"/>
            </w:tcBorders>
            <w:shd w:fill="FFFFFF" w:val="clear"/>
            <w:tcMar>
              <w:top w:type="dxa" w:w="54"/>
              <w:left w:type="dxa" w:w="100"/>
              <w:bottom w:type="dxa" w:w="54"/>
              <w:right w:type="dxa" w:w="100"/>
            </w:tcMar>
          </w:tcPr>
          <w:p>
            <w:pPr>
              <w:spacing w:line="248"/>
            </w:pPr>
            <w:r>
              <w:rPr>
                <w:color w:val="2E7D5B"/>
                <w:sz w:val="17"/>
                <w:szCs w:val="17"/>
              </w:rPr>
              <w:t xml:space="preserve">Consistent</w:t>
            </w:r>
          </w:p>
        </w:tc>
      </w:tr>
    </w:tbl>
    <w:p>
      <w:pPr>
        <w:spacing w:after="110"/>
      </w:pPr>
    </w:p>
    <w:p>
      <w:pPr>
        <w:spacing w:after="130" w:line="274"/>
        <w:jc w:val="left"/>
      </w:pPr>
      <w:r>
        <w:rPr>
          <w:b/>
          <w:bCs/>
          <w:color w:val="222222"/>
          <w:sz w:val="21"/>
          <w:szCs w:val="21"/>
        </w:rPr>
        <w:t xml:space="preserve">The headline finding: </w:t>
      </w:r>
      <w:r>
        <w:rPr>
          <w:color w:val="222222"/>
          <w:sz w:val="21"/>
          <w:szCs w:val="21"/>
        </w:rPr>
        <w:t xml:space="preserve">a citizen's home address is protected when they marry in the county but published when they open a business in the city — the same data, unequal rights, depending only on which office collected it. The graph surfaces this automatically with one query:</w:t>
      </w:r>
    </w:p>
    <w:tbl>
      <w:tblPr>
        <w:tblW w:type="dxa" w:w="9360"/>
        <w:tblBorders>
          <w:top w:val="single" w:color="C7D2E5" w:sz="1"/>
          <w:left w:val="single" w:color="4472C4" w:sz="12"/>
          <w:bottom w:val="single" w:color="C7D2E5" w:sz="1"/>
          <w:right w:val="single" w:color="C7D2E5" w:sz="1"/>
          <w:insideH w:val="single" w:color="auto" w:sz="4"/>
          <w:insideV w:val="single" w:color="auto" w:sz="4"/>
        </w:tblBorders>
      </w:tblPr>
      <w:tblGrid>
        <w:gridCol w:w="9360"/>
      </w:tblGrid>
      <w:tr>
        <w:tc>
          <w:tcPr>
            <w:shd w:fill="F4F6FA" w:val="clear"/>
            <w:tcMar>
              <w:top w:type="dxa" w:w="120"/>
              <w:left w:type="dxa" w:w="160"/>
              <w:bottom w:type="dxa" w:w="120"/>
              <w:right w:type="dxa" w:w="140"/>
            </w:tcMar>
          </w:tcPr>
          <w:p>
            <w:pPr>
              <w:spacing w:after="20" w:line="240"/>
            </w:pPr>
            <w:r>
              <w:rPr>
                <w:rFonts w:ascii="Consolas" w:cs="Consolas" w:eastAsia="Consolas" w:hAnsi="Consolas"/>
                <w:color w:val="1F3864"/>
                <w:sz w:val="17"/>
                <w:szCs w:val="17"/>
              </w:rPr>
              <w:t xml:space="preserve">// Find canonical data types governed inconsistently across entities</w:t>
            </w:r>
          </w:p>
          <w:p>
            <w:pPr>
              <w:spacing w:after="20" w:line="240"/>
            </w:pPr>
            <w:r>
              <w:rPr>
                <w:rFonts w:ascii="Consolas" w:cs="Consolas" w:eastAsia="Consolas" w:hAnsi="Consolas"/>
                <w:color w:val="1F3864"/>
                <w:sz w:val="17"/>
                <w:szCs w:val="17"/>
              </w:rPr>
              <w:t xml:space="preserve">MATCH (ct:CanonicalDataType)&lt;-[:INSTANCE_OF]-(de:DataElement)</w:t>
            </w:r>
          </w:p>
          <w:p>
            <w:pPr>
              <w:spacing w:after="20" w:line="240"/>
            </w:pPr>
            <w:r>
              <w:rPr>
                <w:rFonts w:ascii="Consolas" w:cs="Consolas" w:eastAsia="Consolas" w:hAnsi="Consolas"/>
                <w:color w:val="1F3864"/>
                <w:sz w:val="17"/>
                <w:szCs w:val="17"/>
              </w:rPr>
              <w:t xml:space="preserve">      -[:CLASSIFIED_AS]-&gt;(c:Classification)</w:t>
            </w:r>
          </w:p>
          <w:p>
            <w:pPr>
              <w:spacing w:after="20" w:line="240"/>
            </w:pPr>
            <w:r>
              <w:rPr>
                <w:rFonts w:ascii="Consolas" w:cs="Consolas" w:eastAsia="Consolas" w:hAnsi="Consolas"/>
                <w:color w:val="1F3864"/>
                <w:sz w:val="17"/>
                <w:szCs w:val="17"/>
              </w:rPr>
              <w:t xml:space="preserve">MATCH (de)&lt;-[:CONTAINS]-(:Record)&lt;-[:PRODUCES]-(:Transaction)</w:t>
            </w:r>
          </w:p>
          <w:p>
            <w:pPr>
              <w:spacing w:after="20" w:line="240"/>
            </w:pPr>
            <w:r>
              <w:rPr>
                <w:rFonts w:ascii="Consolas" w:cs="Consolas" w:eastAsia="Consolas" w:hAnsi="Consolas"/>
                <w:color w:val="1F3864"/>
                <w:sz w:val="17"/>
                <w:szCs w:val="17"/>
              </w:rPr>
              <w:t xml:space="preserve">      &lt;-[:EXECUTED_VIA]-(:PrimaryDuty)&lt;-[:INCLUDES]-(:CoreFunction)</w:t>
            </w:r>
          </w:p>
          <w:p>
            <w:pPr>
              <w:spacing w:after="20" w:line="240"/>
            </w:pPr>
            <w:r>
              <w:rPr>
                <w:rFonts w:ascii="Consolas" w:cs="Consolas" w:eastAsia="Consolas" w:hAnsi="Consolas"/>
                <w:color w:val="1F3864"/>
                <w:sz w:val="17"/>
                <w:szCs w:val="17"/>
              </w:rPr>
              <w:t xml:space="preserve">      &lt;-[:PERFORMS]-(:Office)&lt;-[:HAS_OFFICE]-(u:GovernmentUnit)</w:t>
            </w:r>
          </w:p>
          <w:p>
            <w:pPr>
              <w:spacing w:after="20" w:line="240"/>
            </w:pPr>
            <w:r>
              <w:rPr>
                <w:rFonts w:ascii="Consolas" w:cs="Consolas" w:eastAsia="Consolas" w:hAnsi="Consolas"/>
                <w:color w:val="1F3864"/>
                <w:sz w:val="17"/>
                <w:szCs w:val="17"/>
              </w:rPr>
              <w:t xml:space="preserve">WITH ct.name AS dataType, collect(DISTINCT [u.name, c.level]) AS byEntity</w:t>
            </w:r>
          </w:p>
          <w:p>
            <w:pPr>
              <w:spacing w:after="20" w:line="240"/>
            </w:pPr>
            <w:r>
              <w:rPr>
                <w:rFonts w:ascii="Consolas" w:cs="Consolas" w:eastAsia="Consolas" w:hAnsi="Consolas"/>
                <w:color w:val="1F3864"/>
                <w:sz w:val="17"/>
                <w:szCs w:val="17"/>
              </w:rPr>
              <w:t xml:space="preserve">WHERE size(apoc.coll.toSet([x IN byEntity | x[1]])) &gt; 1</w:t>
            </w:r>
          </w:p>
          <w:p>
            <w:pPr>
              <w:spacing w:after="0" w:line="240"/>
            </w:pPr>
            <w:r>
              <w:rPr>
                <w:rFonts w:ascii="Consolas" w:cs="Consolas" w:eastAsia="Consolas" w:hAnsi="Consolas"/>
                <w:color w:val="1F3864"/>
                <w:sz w:val="17"/>
                <w:szCs w:val="17"/>
              </w:rPr>
              <w:t xml:space="preserve">RETURN dataType, byEntity   // rows here = unequal data rights</w:t>
            </w:r>
          </w:p>
        </w:tc>
      </w:tr>
    </w:tbl>
    <w:p>
      <w:pPr>
        <w:spacing w:after="90"/>
      </w:pP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Why this is the whole point</w:t>
            </w:r>
          </w:p>
          <w:p>
            <w:pPr>
              <w:spacing w:after="0" w:line="264"/>
            </w:pPr>
            <w:r>
              <w:rPr>
                <w:color w:val="333333"/>
                <w:sz w:val="20"/>
                <w:szCs w:val="20"/>
              </w:rPr>
              <w:t xml:space="preserve">This single query is the difference between a “good” solution (creates a model) and a “fantastic” one (demonstrates an ecosystem). It scales: add a school district's enrollment model or a state agency's benefit model, point their elements at the same canonical types, and the same query instantly audits equal data rights across every entity in the state — no new code, just more nodes.</w:t>
            </w:r>
          </w:p>
        </w:tc>
      </w:tr>
    </w:tbl>
    <w:p>
      <w:r>
        <w:br w:type="page"/>
      </w:r>
    </w:p>
    <w:p>
      <w:pPr>
        <w:pStyle w:val="Heading1"/>
      </w:pPr>
      <w:r>
        <w:t xml:space="preserve">7.  Concrete Seed (Cypher)</w:t>
      </w:r>
    </w:p>
    <w:p>
      <w:pPr>
        <w:spacing w:after="130" w:line="274"/>
        <w:jc w:val="left"/>
      </w:pPr>
      <w:r>
        <w:rPr>
          <w:color w:val="222222"/>
          <w:sz w:val="21"/>
          <w:szCs w:val="21"/>
        </w:rPr>
        <w:t xml:space="preserve">A minimal, loadable slice of the marriage-license model in Neo4j-style Cypher — enough to stand up the graph and run the Section 6 query. A companion </w:t>
      </w:r>
      <w:r>
        <w:rPr>
          <w:b/>
          <w:bCs/>
          <w:color w:val="222222"/>
          <w:sz w:val="21"/>
          <w:szCs w:val="21"/>
        </w:rPr>
        <w:t xml:space="preserve">.cypher</w:t>
      </w:r>
      <w:r>
        <w:rPr>
          <w:color w:val="222222"/>
          <w:sz w:val="21"/>
          <w:szCs w:val="21"/>
        </w:rPr>
        <w:t xml:space="preserve"> seed file accompanies this document.</w:t>
      </w:r>
    </w:p>
    <w:tbl>
      <w:tblPr>
        <w:tblW w:type="dxa" w:w="9360"/>
        <w:tblBorders>
          <w:top w:val="single" w:color="C7D2E5" w:sz="1"/>
          <w:left w:val="single" w:color="4472C4" w:sz="12"/>
          <w:bottom w:val="single" w:color="C7D2E5" w:sz="1"/>
          <w:right w:val="single" w:color="C7D2E5" w:sz="1"/>
          <w:insideH w:val="single" w:color="auto" w:sz="4"/>
          <w:insideV w:val="single" w:color="auto" w:sz="4"/>
        </w:tblBorders>
      </w:tblPr>
      <w:tblGrid>
        <w:gridCol w:w="9360"/>
      </w:tblGrid>
      <w:tr>
        <w:tc>
          <w:tcPr>
            <w:shd w:fill="F4F6FA" w:val="clear"/>
            <w:tcMar>
              <w:top w:type="dxa" w:w="120"/>
              <w:left w:type="dxa" w:w="160"/>
              <w:bottom w:type="dxa" w:w="120"/>
              <w:right w:type="dxa" w:w="140"/>
            </w:tcMar>
          </w:tcPr>
          <w:p>
            <w:pPr>
              <w:spacing w:after="20" w:line="240"/>
            </w:pPr>
            <w:r>
              <w:rPr>
                <w:rFonts w:ascii="Consolas" w:cs="Consolas" w:eastAsia="Consolas" w:hAnsi="Consolas"/>
                <w:color w:val="1F3864"/>
                <w:sz w:val="17"/>
                <w:szCs w:val="17"/>
              </w:rPr>
              <w:t xml:space="preserve">// --- shared canonical types &amp; authorities ---</w:t>
            </w:r>
          </w:p>
          <w:p>
            <w:pPr>
              <w:spacing w:after="20" w:line="240"/>
            </w:pPr>
            <w:r>
              <w:rPr>
                <w:rFonts w:ascii="Consolas" w:cs="Consolas" w:eastAsia="Consolas" w:hAnsi="Consolas"/>
                <w:color w:val="1F3864"/>
                <w:sz w:val="17"/>
                <w:szCs w:val="17"/>
              </w:rPr>
              <w:t xml:space="preserve">MERGE (ssn:CanonicalDataType {typeId:'CDT_SSN', name:'SSN', category:'Identifier'})</w:t>
            </w:r>
          </w:p>
          <w:p>
            <w:pPr>
              <w:spacing w:after="20" w:line="240"/>
            </w:pPr>
            <w:r>
              <w:rPr>
                <w:rFonts w:ascii="Consolas" w:cs="Consolas" w:eastAsia="Consolas" w:hAnsi="Consolas"/>
                <w:color w:val="1F3864"/>
                <w:sz w:val="17"/>
                <w:szCs w:val="17"/>
              </w:rPr>
              <w:t xml:space="preserve">MERGE (addr:CanonicalDataType {typeId:'CDT_ADDR', name:'Residential Address', category:'Contact'})</w:t>
            </w:r>
          </w:p>
          <w:p>
            <w:pPr>
              <w:spacing w:after="20" w:line="240"/>
            </w:pPr>
            <w:r>
              <w:rPr>
                <w:rFonts w:ascii="Consolas" w:cs="Consolas" w:eastAsia="Consolas" w:hAnsi="Consolas"/>
                <w:color w:val="1F3864"/>
                <w:sz w:val="17"/>
                <w:szCs w:val="17"/>
              </w:rPr>
              <w:t xml:space="preserve">MERGE (law1:LegalAuthority {authorityId:'UC_30_1_8', citation:'Utah Code 30-1-8', type:'Statute'})</w:t>
            </w:r>
          </w:p>
          <w:p>
            <w:pPr>
              <w:spacing w:after="20" w:line="240"/>
            </w:pPr>
            <w:r>
              <w:rPr>
                <w:rFonts w:ascii="Consolas" w:cs="Consolas" w:eastAsia="Consolas" w:hAnsi="Consolas"/>
                <w:color w:val="1F3864"/>
                <w:sz w:val="17"/>
                <w:szCs w:val="17"/>
              </w:rPr>
              <w:t xml:space="preserve"> </w:t>
            </w:r>
          </w:p>
          <w:p>
            <w:pPr>
              <w:spacing w:after="20" w:line="240"/>
            </w:pPr>
            <w:r>
              <w:rPr>
                <w:rFonts w:ascii="Consolas" w:cs="Consolas" w:eastAsia="Consolas" w:hAnsi="Consolas"/>
                <w:color w:val="1F3864"/>
                <w:sz w:val="17"/>
                <w:szCs w:val="17"/>
              </w:rPr>
              <w:t xml:space="preserve">// --- spine: Utah County marriage license ---</w:t>
            </w:r>
          </w:p>
          <w:p>
            <w:pPr>
              <w:spacing w:after="20" w:line="240"/>
            </w:pPr>
            <w:r>
              <w:rPr>
                <w:rFonts w:ascii="Consolas" w:cs="Consolas" w:eastAsia="Consolas" w:hAnsi="Consolas"/>
                <w:color w:val="1F3864"/>
                <w:sz w:val="17"/>
                <w:szCs w:val="17"/>
              </w:rPr>
              <w:t xml:space="preserve">MERGE (u:GovernmentUnit {unitId:'UTAH_CO', name:'Utah County', type:'County'})</w:t>
            </w:r>
          </w:p>
          <w:p>
            <w:pPr>
              <w:spacing w:after="20" w:line="240"/>
            </w:pPr>
            <w:r>
              <w:rPr>
                <w:rFonts w:ascii="Consolas" w:cs="Consolas" w:eastAsia="Consolas" w:hAnsi="Consolas"/>
                <w:color w:val="1F3864"/>
                <w:sz w:val="17"/>
                <w:szCs w:val="17"/>
              </w:rPr>
              <w:t xml:space="preserve">MERGE (o:Office {officeId:'CLERK', name:'County Clerk'})</w:t>
            </w:r>
          </w:p>
          <w:p>
            <w:pPr>
              <w:spacing w:after="20" w:line="240"/>
            </w:pPr>
            <w:r>
              <w:rPr>
                <w:rFonts w:ascii="Consolas" w:cs="Consolas" w:eastAsia="Consolas" w:hAnsi="Consolas"/>
                <w:color w:val="1F3864"/>
                <w:sz w:val="17"/>
                <w:szCs w:val="17"/>
              </w:rPr>
              <w:t xml:space="preserve">MERGE (t:Transaction {transactionId:'TXN_ML', name:'Marriage License Issuance'})</w:t>
            </w:r>
          </w:p>
          <w:p>
            <w:pPr>
              <w:spacing w:after="20" w:line="240"/>
            </w:pPr>
            <w:r>
              <w:rPr>
                <w:rFonts w:ascii="Consolas" w:cs="Consolas" w:eastAsia="Consolas" w:hAnsi="Consolas"/>
                <w:color w:val="1F3864"/>
                <w:sz w:val="17"/>
                <w:szCs w:val="17"/>
              </w:rPr>
              <w:t xml:space="preserve">MERGE (rec:Record {recordId:'REC_ML', name:'Marriage License', isPublicFacing:true})</w:t>
            </w:r>
          </w:p>
          <w:p>
            <w:pPr>
              <w:spacing w:after="20" w:line="240"/>
            </w:pPr>
            <w:r>
              <w:rPr>
                <w:rFonts w:ascii="Consolas" w:cs="Consolas" w:eastAsia="Consolas" w:hAnsi="Consolas"/>
                <w:color w:val="1F3864"/>
                <w:sz w:val="17"/>
                <w:szCs w:val="17"/>
              </w:rPr>
              <w:t xml:space="preserve">MERGE (de:DataElement {elementId:'ML_ADDR', label:'Residential address', minimizationStatus:'Necessary'})</w:t>
            </w:r>
          </w:p>
          <w:p>
            <w:pPr>
              <w:spacing w:after="20" w:line="240"/>
            </w:pPr>
            <w:r>
              <w:rPr>
                <w:rFonts w:ascii="Consolas" w:cs="Consolas" w:eastAsia="Consolas" w:hAnsi="Consolas"/>
                <w:color w:val="1F3864"/>
                <w:sz w:val="17"/>
                <w:szCs w:val="17"/>
              </w:rPr>
              <w:t xml:space="preserve">MERGE (cls:Classification {classId:'ML_ADDR_CLS', level:'Private'})</w:t>
            </w:r>
          </w:p>
          <w:p>
            <w:pPr>
              <w:spacing w:after="20" w:line="240"/>
            </w:pPr>
            <w:r>
              <w:rPr>
                <w:rFonts w:ascii="Consolas" w:cs="Consolas" w:eastAsia="Consolas" w:hAnsi="Consolas"/>
                <w:color w:val="1F3864"/>
                <w:sz w:val="17"/>
                <w:szCs w:val="17"/>
              </w:rPr>
              <w:t xml:space="preserve">MERGE (u)-[:HAS_OFFICE]-&gt;(o)-[:PERFORMS]-&gt;(:CoreFunction {name:'Vital Records'})</w:t>
            </w:r>
          </w:p>
          <w:p>
            <w:pPr>
              <w:spacing w:after="20" w:line="240"/>
            </w:pPr>
            <w:r>
              <w:rPr>
                <w:rFonts w:ascii="Consolas" w:cs="Consolas" w:eastAsia="Consolas" w:hAnsi="Consolas"/>
                <w:color w:val="1F3864"/>
                <w:sz w:val="17"/>
                <w:szCs w:val="17"/>
              </w:rPr>
              <w:t xml:space="preserve">MERGE (t)-[:PRODUCES]-&gt;(rec)-[:CONTAINS]-&gt;(de)</w:t>
            </w:r>
          </w:p>
          <w:p>
            <w:pPr>
              <w:spacing w:after="20" w:line="240"/>
            </w:pPr>
            <w:r>
              <w:rPr>
                <w:rFonts w:ascii="Consolas" w:cs="Consolas" w:eastAsia="Consolas" w:hAnsi="Consolas"/>
                <w:color w:val="1F3864"/>
                <w:sz w:val="17"/>
                <w:szCs w:val="17"/>
              </w:rPr>
              <w:t xml:space="preserve">MERGE (de)-[:INSTANCE_OF]-&gt;(addr)</w:t>
            </w:r>
          </w:p>
          <w:p>
            <w:pPr>
              <w:spacing w:after="20" w:line="240"/>
            </w:pPr>
            <w:r>
              <w:rPr>
                <w:rFonts w:ascii="Consolas" w:cs="Consolas" w:eastAsia="Consolas" w:hAnsi="Consolas"/>
                <w:color w:val="1F3864"/>
                <w:sz w:val="17"/>
                <w:szCs w:val="17"/>
              </w:rPr>
              <w:t xml:space="preserve">MERGE (de)-[:CLASSIFIED_AS]-&gt;(cls)</w:t>
            </w:r>
          </w:p>
          <w:p>
            <w:pPr>
              <w:spacing w:after="0" w:line="240"/>
            </w:pPr>
            <w:r>
              <w:rPr>
                <w:rFonts w:ascii="Consolas" w:cs="Consolas" w:eastAsia="Consolas" w:hAnsi="Consolas"/>
                <w:color w:val="1F3864"/>
                <w:sz w:val="17"/>
                <w:szCs w:val="17"/>
              </w:rPr>
              <w:t xml:space="preserve">MERGE (de)-[:AUTHORIZED_BY]-&gt;(law1)</w:t>
            </w:r>
          </w:p>
        </w:tc>
      </w:tr>
    </w:tbl>
    <w:p>
      <w:pPr>
        <w:spacing w:after="120"/>
      </w:pPr>
    </w:p>
    <w:p>
      <w:pPr>
        <w:spacing w:after="130" w:line="274"/>
        <w:jc w:val="left"/>
      </w:pPr>
      <w:r>
        <w:rPr>
          <w:i/>
          <w:iCs/>
          <w:color w:val="595959"/>
          <w:sz w:val="18"/>
          <w:szCs w:val="18"/>
        </w:rPr>
        <w:t xml:space="preserve">All citations, classifications, retention periods, and minimization flags in this document are illustrative placeholders chosen to demonstrate the schema's structure and the cross-entity comparison. They must be validated against current Utah Code, GRAMA classifications, and the applicable General Retention Schedules by a records/privacy officer before any operational use.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jc w:val="center"/>
    </w:pPr>
    <w:r>
      <w:rPr>
        <w:color w:val="595959"/>
        <w:sz w:val="16"/>
        <w:szCs w:val="16"/>
      </w:rPr>
      <w:t xml:space="preserve">Companion to the Agentic Architecture Map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color w:val="595959"/>
        <w:sz w:val="16"/>
        <w:szCs w:val="16"/>
      </w:rPr>
      <w:t xml:space="preserve">Governance Model Graph Schema  ·  Marriage &amp; Business License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6"/>
      </w:pBdr>
      <w:spacing w:after="14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40"/>
      <w:outlineLvl w:val="1"/>
    </w:pPr>
    <w:rPr>
      <w:rFonts w:ascii="Calibri" w:cs="Calibri" w:eastAsia="Calibri" w:hAnsi="Calibri"/>
      <w:b/>
      <w:bCs/>
      <w:color w:val="2E5496"/>
      <w:sz w:val="22"/>
      <w:szCs w:val="22"/>
    </w:rPr>
  </w:style>
  <w:style w:type="paragraph" w:styleId="Heading3">
    <w:name w:val="Heading 3"/>
    <w:basedOn w:val="Normal"/>
    <w:next w:val="Normal"/>
    <w:qFormat/>
    <w:pPr>
      <w:spacing w:after="60" w:before="110"/>
      <w:outlineLvl w:val="2"/>
    </w:pPr>
    <w:rPr>
      <w:rFonts w:ascii="Calibri" w:cs="Calibri" w:eastAsia="Calibri" w:hAnsi="Calibri"/>
      <w:b/>
      <w:bCs/>
      <w:color w:val="4472C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Node-Based Schema for Public-Sector Data Governance</dc:title>
  <dc:creator>Governance Model Graph Schema</dc:creator>
  <cp:lastModifiedBy>Un-named</cp:lastModifiedBy>
  <cp:revision>1</cp:revision>
  <dcterms:created xsi:type="dcterms:W3CDTF">2026-06-18T14:16:39.659Z</dcterms:created>
  <dcterms:modified xsi:type="dcterms:W3CDTF">2026-06-18T14:16:39.661Z</dcterms:modified>
</cp:coreProperties>
</file>

<file path=docProps/custom.xml><?xml version="1.0" encoding="utf-8"?>
<Properties xmlns="http://schemas.openxmlformats.org/officeDocument/2006/custom-properties" xmlns:vt="http://schemas.openxmlformats.org/officeDocument/2006/docPropsVTypes"/>
</file>