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4472C4"/>
          <w:sz w:val="22"/>
          <w:szCs w:val="22"/>
        </w:rPr>
        <w:t xml:space="preserve">AGENT-FIRST BUILD ROADMAP</w:t>
      </w:r>
    </w:p>
    <w:p>
      <w:pPr>
        <w:pBdr>
          <w:bottom w:val="single" w:color="4472C4" w:sz="6" w:space="6"/>
        </w:pBdr>
        <w:spacing w:after="100"/>
        <w:jc w:val="center"/>
      </w:pPr>
      <w:r>
        <w:rPr>
          <w:sz w:val="6"/>
          <w:szCs w:val="6"/>
        </w:rPr>
        <w:t xml:space="preserve"/>
      </w:r>
    </w:p>
    <w:p>
      <w:pPr>
        <w:spacing w:after="60"/>
        <w:jc w:val="center"/>
      </w:pPr>
      <w:r>
        <w:rPr>
          <w:b/>
          <w:bCs/>
          <w:color w:val="1F3864"/>
          <w:sz w:val="38"/>
          <w:szCs w:val="38"/>
        </w:rPr>
        <w:t xml:space="preserve">Building the Agentic Pipeline Without Shipping RAG First</w:t>
      </w:r>
    </w:p>
    <w:p>
      <w:pPr>
        <w:spacing w:after="200"/>
        <w:jc w:val="center"/>
      </w:pPr>
      <w:r>
        <w:rPr>
          <w:i/>
          <w:iCs/>
          <w:color w:val="595959"/>
          <w:sz w:val="22"/>
          <w:szCs w:val="22"/>
        </w:rPr>
        <w:t xml:space="preserve">Phased milestones, exit criteria, and what is demonstrable at each gate</w:t>
      </w:r>
    </w:p>
    <w:tbl>
      <w:tblPr>
        <w:tblW w:type="dxa" w:w="9360"/>
        <w:tblBorders>
          <w:top w:val="single" w:color="EAF0FA" w:sz="1"/>
          <w:left w:val="single" w:color="1F3864" w:sz="18"/>
          <w:bottom w:val="single" w:color="EAF0FA" w:sz="1"/>
          <w:right w:val="single" w:color="EAF0FA" w:sz="1"/>
          <w:insideH w:val="single" w:color="auto" w:sz="4"/>
          <w:insideV w:val="single" w:color="auto" w:sz="4"/>
        </w:tblBorders>
      </w:tblPr>
      <w:tblGrid>
        <w:gridCol w:w="9360"/>
      </w:tblGrid>
      <w:tr>
        <w:tc>
          <w:tcPr>
            <w:shd w:fill="EAF0FA" w:val="clear"/>
            <w:tcMar>
              <w:top w:type="dxa" w:w="140"/>
              <w:left w:type="dxa" w:w="200"/>
              <w:bottom w:type="dxa" w:w="140"/>
              <w:right w:type="dxa" w:w="200"/>
            </w:tcMar>
          </w:tcPr>
          <w:p>
            <w:pPr>
              <w:spacing w:after="80"/>
            </w:pPr>
            <w:r>
              <w:rPr>
                <w:b/>
                <w:bCs/>
                <w:color w:val="1F3864"/>
                <w:sz w:val="21"/>
                <w:szCs w:val="21"/>
              </w:rPr>
              <w:t xml:space="preserve">The governing principle</w:t>
            </w:r>
          </w:p>
          <w:p>
            <w:pPr>
              <w:spacing w:after="0" w:line="264"/>
            </w:pPr>
            <w:r>
              <w:rPr>
                <w:b/>
                <w:bCs/>
                <w:color w:val="1F3864"/>
                <w:sz w:val="20"/>
                <w:szCs w:val="20"/>
              </w:rPr>
              <w:t xml:space="preserve">De-risk the hardest, most failure-prone parts first — not deliver the most features first. </w:t>
            </w:r>
            <w:r>
              <w:rPr>
                <w:color w:val="333333"/>
                <w:sz w:val="20"/>
                <w:szCs w:val="20"/>
              </w:rPr>
              <w:t xml:space="preserve">Going agent-first does not skip the foundations (schema, corpus, human workflow); it builds them under more pressure. Every phase below ends in a hard gate: if the exit criteria are not met, you do not proceed — you fix or stop. This is what makes an ambitious autonomous system defensible to a budget- and compliance-constrained sponsor.</w:t>
            </w:r>
          </w:p>
        </w:tc>
      </w:tr>
    </w:tbl>
    <w:p>
      <w:pPr>
        <w:spacing w:after="140"/>
      </w:pPr>
    </w:p>
    <w:p>
      <w:pPr>
        <w:pStyle w:val="Heading1"/>
      </w:pPr>
      <w:r>
        <w:t xml:space="preserve">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1560"/>
        <w:gridCol w:w="3300"/>
      </w:tblGrid>
      <w:tr>
        <w:trPr>
          <w:tblHeader/>
        </w:trPr>
        <w:tc>
          <w:tcPr>
            <w:tcW w:type="dxa" w:w="8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Phase</w:t>
            </w:r>
          </w:p>
        </w:tc>
        <w:tc>
          <w:tcPr>
            <w:tcW w:type="dxa" w:w="3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Focus</w:t>
            </w:r>
          </w:p>
        </w:tc>
        <w:tc>
          <w:tcPr>
            <w:tcW w:type="dxa" w:w="15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Duration</w:t>
            </w:r>
          </w:p>
        </w:tc>
        <w:tc>
          <w:tcPr>
            <w:tcW w:type="dxa" w:w="33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Demoable outcome</w:t>
            </w:r>
          </w:p>
        </w:tc>
      </w:tr>
      <w:tr>
        <w:tc>
          <w:tcPr>
            <w:tcW w:type="dxa" w:w="8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0</w:t>
            </w:r>
          </w:p>
        </w:tc>
        <w:tc>
          <w:tcPr>
            <w:tcW w:type="dxa" w:w="3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The contract: schema + gold-standard model</w:t>
            </w:r>
          </w:p>
        </w:tc>
        <w:tc>
          <w:tcPr>
            <w:tcW w:type="dxa" w:w="15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Weeks 1–3</w:t>
            </w:r>
          </w:p>
        </w:tc>
        <w:tc>
          <w:tcPr>
            <w:tcW w:type="dxa" w:w="33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 hand-built marriage-license model + strict output schema</w:t>
            </w:r>
          </w:p>
        </w:tc>
      </w:tr>
      <w:tr>
        <w:tc>
          <w:tcPr>
            <w:tcW w:type="dxa" w:w="8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1</w:t>
            </w:r>
          </w:p>
        </w:tc>
        <w:tc>
          <w:tcPr>
            <w:tcW w:type="dxa" w:w="3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Knowledge fabric (the mandatory RAG substrate)</w:t>
            </w:r>
          </w:p>
        </w:tc>
        <w:tc>
          <w:tcPr>
            <w:tcW w:type="dxa" w:w="15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Weeks 3–7</w:t>
            </w:r>
          </w:p>
        </w:tc>
        <w:tc>
          <w:tcPr>
            <w:tcW w:type="dxa" w:w="33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Cited semantic search over real statutes &amp; schedules</w:t>
            </w:r>
          </w:p>
        </w:tc>
      </w:tr>
      <w:tr>
        <w:tc>
          <w:tcPr>
            <w:tcW w:type="dxa" w:w="8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2</w:t>
            </w:r>
          </w:p>
        </w:tc>
        <w:tc>
          <w:tcPr>
            <w:tcW w:type="dxa" w:w="3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One agent end-to-end (Legal Authority — the canary)</w:t>
            </w:r>
          </w:p>
        </w:tc>
        <w:tc>
          <w:tcPr>
            <w:tcW w:type="dxa" w:w="15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Weeks 6–11</w:t>
            </w:r>
          </w:p>
        </w:tc>
        <w:tc>
          <w:tcPr>
            <w:tcW w:type="dxa" w:w="33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One agent producing reviewer-approved, cited output</w:t>
            </w:r>
          </w:p>
        </w:tc>
      </w:tr>
      <w:tr>
        <w:tc>
          <w:tcPr>
            <w:tcW w:type="dxa" w:w="8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3</w:t>
            </w:r>
          </w:p>
        </w:tc>
        <w:tc>
          <w:tcPr>
            <w:tcW w:type="dxa" w:w="3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The agent fleet + deterministic orchestration</w:t>
            </w:r>
          </w:p>
        </w:tc>
        <w:tc>
          <w:tcPr>
            <w:tcW w:type="dxa" w:w="15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Weeks 10–18</w:t>
            </w:r>
          </w:p>
        </w:tc>
        <w:tc>
          <w:tcPr>
            <w:tcW w:type="dxa" w:w="33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A complete model assembled by all 10 agents in fixed order</w:t>
            </w:r>
          </w:p>
        </w:tc>
      </w:tr>
      <w:tr>
        <w:tc>
          <w:tcPr>
            <w:tcW w:type="dxa" w:w="8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4</w:t>
            </w:r>
          </w:p>
        </w:tc>
        <w:tc>
          <w:tcPr>
            <w:tcW w:type="dxa" w:w="3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Supervised dynamic dispatch + conflict resolution</w:t>
            </w:r>
          </w:p>
        </w:tc>
        <w:tc>
          <w:tcPr>
            <w:tcW w:type="dxa" w:w="15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Weeks 16–24</w:t>
            </w:r>
          </w:p>
        </w:tc>
        <w:tc>
          <w:tcPr>
            <w:tcW w:type="dxa" w:w="33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Orchestrator chooses agents &amp; reconciles conflicts</w:t>
            </w:r>
          </w:p>
        </w:tc>
      </w:tr>
      <w:tr>
        <w:tc>
          <w:tcPr>
            <w:tcW w:type="dxa" w:w="8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5</w:t>
            </w:r>
          </w:p>
        </w:tc>
        <w:tc>
          <w:tcPr>
            <w:tcW w:type="dxa" w:w="3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Continuous monitoring autonomy (the true 'agentic' win)</w:t>
            </w:r>
          </w:p>
        </w:tc>
        <w:tc>
          <w:tcPr>
            <w:tcW w:type="dxa" w:w="15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Weeks 22–32</w:t>
            </w:r>
          </w:p>
        </w:tc>
        <w:tc>
          <w:tcPr>
            <w:tcW w:type="dxa" w:w="33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Auto-detection of a legal change → proposed model update</w:t>
            </w:r>
          </w:p>
        </w:tc>
      </w:tr>
    </w:tbl>
    <w:p>
      <w:pPr>
        <w:spacing w:after="120"/>
      </w:pPr>
    </w:p>
    <w:p>
      <w:pPr>
        <w:spacing w:after="130" w:line="274"/>
        <w:jc w:val="left"/>
      </w:pPr>
      <w:r>
        <w:rPr>
          <w:b/>
          <w:bCs/>
          <w:color w:val="222222"/>
          <w:sz w:val="21"/>
          <w:szCs w:val="21"/>
        </w:rPr>
        <w:t xml:space="preserve">Note on overlap: </w:t>
      </w:r>
      <w:r>
        <w:rPr>
          <w:color w:val="222222"/>
          <w:sz w:val="21"/>
          <w:szCs w:val="21"/>
        </w:rPr>
        <w:t xml:space="preserve">phases intentionally overlap. Guardrails, citation enforcement, the human-review console, and cost/quality instrumentation are </w:t>
      </w:r>
      <w:r>
        <w:rPr>
          <w:b/>
          <w:bCs/>
          <w:color w:val="222222"/>
          <w:sz w:val="21"/>
          <w:szCs w:val="21"/>
        </w:rPr>
        <w:t xml:space="preserve">built continuously from Phase 2 onward</w:t>
      </w:r>
      <w:r>
        <w:rPr>
          <w:color w:val="222222"/>
          <w:sz w:val="21"/>
          <w:szCs w:val="21"/>
        </w:rPr>
        <w:t xml:space="preserve"> — they are scaffolding, not finish work. The first demonstrable system exists at the end of Phase 3; everything after that adds autonomy you can switch off if it misbehaves or overspends.</w:t>
      </w:r>
    </w:p>
    <w:p>
      <w:r>
        <w:br w:type="page"/>
      </w:r>
    </w:p>
    <w:tbl>
      <w:tblPr>
        <w:tblW w:type="dxa" w:w="9360"/>
        <w:tblBorders>
          <w:top w:val="none"/>
          <w:left w:val="single" w:color="2E5496" w:sz="24"/>
          <w:bottom w:val="none"/>
          <w:right w:val="none"/>
          <w:insideH w:val="single" w:color="auto" w:sz="4"/>
          <w:insideV w:val="single" w:color="auto" w:sz="4"/>
        </w:tblBorders>
      </w:tblPr>
      <w:tblGrid>
        <w:gridCol w:w="9360"/>
      </w:tblGrid>
      <w:tr>
        <w:tc>
          <w:tcPr>
            <w:shd w:fill="E7F0FB" w:val="clear"/>
            <w:tcMar>
              <w:top w:type="dxa" w:w="100"/>
              <w:left w:type="dxa" w:w="200"/>
              <w:bottom w:type="dxa" w:w="100"/>
              <w:right w:type="dxa" w:w="160"/>
            </w:tcMar>
          </w:tcPr>
          <w:p>
            <w:r>
              <w:rPr>
                <w:b/>
                <w:bCs/>
                <w:color w:val="2E5496"/>
                <w:sz w:val="26"/>
                <w:szCs w:val="26"/>
              </w:rPr>
              <w:t xml:space="preserve">PHASE 0   </w:t>
            </w:r>
            <w:r>
              <w:rPr>
                <w:b/>
                <w:bCs/>
                <w:color w:val="1F3864"/>
                <w:sz w:val="26"/>
                <w:szCs w:val="26"/>
              </w:rPr>
              <w:t xml:space="preserve">The Contract — Schema &amp; Gold-Standard Model</w:t>
            </w:r>
            <w:r>
              <w:rPr>
                <w:i/>
                <w:iCs/>
                <w:color w:val="595959"/>
                <w:sz w:val="20"/>
                <w:szCs w:val="20"/>
              </w:rPr>
              <w:t xml:space="preserve">      ·  Weeks 1–3</w:t>
            </w:r>
          </w:p>
        </w:tc>
      </w:tr>
    </w:tbl>
    <w:p>
      <w:pPr>
        <w:spacing w:after="80"/>
      </w:pPr>
    </w:p>
    <w:p>
      <w:pPr>
        <w:spacing w:after="130" w:line="274"/>
        <w:jc w:val="left"/>
      </w:pPr>
      <w:r>
        <w:rPr>
          <w:b/>
          <w:bCs/>
          <w:color w:val="222222"/>
          <w:sz w:val="21"/>
          <w:szCs w:val="21"/>
        </w:rPr>
        <w:t xml:space="preserve">Why first: </w:t>
      </w:r>
      <w:r>
        <w:rPr>
          <w:color w:val="222222"/>
          <w:sz w:val="21"/>
          <w:szCs w:val="21"/>
        </w:rPr>
        <w:t xml:space="preserve">agents reliably produce plausible-but-malformed output. Without a strict output contract and a ground-truth model to grade against, you cannot evaluate, validate, or improve anything you build later.</w:t>
      </w:r>
    </w:p>
    <w:p>
      <w:pPr>
        <w:pStyle w:val="Heading2"/>
      </w:pPr>
      <w:r>
        <w:t xml:space="preserve">Build</w:t>
      </w:r>
    </w:p>
    <w:p>
      <w:pPr>
        <w:pStyle w:val="ListParagraph"/>
        <w:numPr>
          <w:ilvl w:val="0"/>
          <w:numId w:val="2"/>
        </w:numPr>
        <w:spacing w:after="60" w:line="262"/>
      </w:pPr>
      <w:r>
        <w:rPr>
          <w:b/>
          <w:bCs/>
          <w:color w:val="222222"/>
          <w:sz w:val="21"/>
          <w:szCs w:val="21"/>
        </w:rPr>
        <w:t xml:space="preserve">The typed governance-model schema </w:t>
      </w:r>
      <w:r>
        <w:rPr>
          <w:color w:val="222222"/>
          <w:sz w:val="21"/>
          <w:szCs w:val="21"/>
        </w:rPr>
        <w:t xml:space="preserve">(Unit→Office→Function→Duty→Transaction→Record→Requirements) with required fields and a citation slot on every field.</w:t>
      </w:r>
    </w:p>
    <w:p>
      <w:pPr>
        <w:pStyle w:val="ListParagraph"/>
        <w:numPr>
          <w:ilvl w:val="0"/>
          <w:numId w:val="2"/>
        </w:numPr>
        <w:spacing w:after="60" w:line="262"/>
      </w:pPr>
      <w:r>
        <w:rPr>
          <w:b/>
          <w:bCs/>
          <w:color w:val="222222"/>
          <w:sz w:val="21"/>
          <w:szCs w:val="21"/>
        </w:rPr>
        <w:t xml:space="preserve">A hand-authored marriage-license model </w:t>
      </w:r>
      <w:r>
        <w:rPr>
          <w:color w:val="222222"/>
          <w:sz w:val="21"/>
          <w:szCs w:val="21"/>
        </w:rPr>
        <w:t xml:space="preserve">built by a records/privacy SME — the gold reference for evals, demos, and reviewer calibration.</w:t>
      </w:r>
    </w:p>
    <w:p>
      <w:pPr>
        <w:pStyle w:val="ListParagraph"/>
        <w:numPr>
          <w:ilvl w:val="0"/>
          <w:numId w:val="2"/>
        </w:numPr>
        <w:spacing w:after="60" w:line="262"/>
      </w:pPr>
      <w:r>
        <w:rPr>
          <w:b/>
          <w:bCs/>
          <w:color w:val="222222"/>
          <w:sz w:val="21"/>
          <w:szCs w:val="21"/>
        </w:rPr>
        <w:t xml:space="preserve">A schema validator </w:t>
      </w:r>
      <w:r>
        <w:rPr>
          <w:color w:val="222222"/>
          <w:sz w:val="21"/>
          <w:szCs w:val="21"/>
        </w:rPr>
        <w:t xml:space="preserve">that rejects incomplete or uncited models programmatically.</w:t>
      </w:r>
    </w:p>
    <w:p>
      <w:pPr>
        <w:pStyle w:val="Heading2"/>
      </w:pPr>
      <w:r>
        <w:t xml:space="preserve">Exit gate</w:t>
      </w: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0" w:line="264"/>
            </w:pPr>
            <w:r>
              <w:rPr>
                <w:b/>
                <w:bCs/>
                <w:color w:val="2E7D5B"/>
                <w:sz w:val="19"/>
                <w:szCs w:val="19"/>
              </w:rPr>
              <w:t xml:space="preserve">PROCEED ONLY IF:  </w:t>
            </w:r>
            <w:r>
              <w:rPr>
                <w:color w:val="333333"/>
                <w:sz w:val="20"/>
                <w:szCs w:val="20"/>
              </w:rPr>
              <w:t xml:space="preserve">the gold model is signed off by an SME, validates cleanly against the schema, and every field traces to a real cited authority. Demoable: the target output, by hand — proof the destination is well-defined.</w:t>
            </w:r>
          </w:p>
        </w:tc>
      </w:tr>
    </w:tbl>
    <w:p>
      <w:pPr>
        <w:spacing w:after="140"/>
      </w:pPr>
    </w:p>
    <w:tbl>
      <w:tblPr>
        <w:tblW w:type="dxa" w:w="9360"/>
        <w:tblBorders>
          <w:top w:val="none"/>
          <w:left w:val="single" w:color="20C997" w:sz="24"/>
          <w:bottom w:val="none"/>
          <w:right w:val="none"/>
          <w:insideH w:val="single" w:color="auto" w:sz="4"/>
          <w:insideV w:val="single" w:color="auto" w:sz="4"/>
        </w:tblBorders>
      </w:tblPr>
      <w:tblGrid>
        <w:gridCol w:w="9360"/>
      </w:tblGrid>
      <w:tr>
        <w:tc>
          <w:tcPr>
            <w:shd w:fill="E6FCF5" w:val="clear"/>
            <w:tcMar>
              <w:top w:type="dxa" w:w="100"/>
              <w:left w:type="dxa" w:w="200"/>
              <w:bottom w:type="dxa" w:w="100"/>
              <w:right w:type="dxa" w:w="160"/>
            </w:tcMar>
          </w:tcPr>
          <w:p>
            <w:r>
              <w:rPr>
                <w:b/>
                <w:bCs/>
                <w:color w:val="20C997"/>
                <w:sz w:val="26"/>
                <w:szCs w:val="26"/>
              </w:rPr>
              <w:t xml:space="preserve">PHASE 1   </w:t>
            </w:r>
            <w:r>
              <w:rPr>
                <w:b/>
                <w:bCs/>
                <w:color w:val="1F3864"/>
                <w:sz w:val="26"/>
                <w:szCs w:val="26"/>
              </w:rPr>
              <w:t xml:space="preserve">Knowledge Fabric — the Mandatory RAG Substrate</w:t>
            </w:r>
            <w:r>
              <w:rPr>
                <w:i/>
                <w:iCs/>
                <w:color w:val="595959"/>
                <w:sz w:val="20"/>
                <w:szCs w:val="20"/>
              </w:rPr>
              <w:t xml:space="preserve">      ·  Weeks 3–7</w:t>
            </w:r>
          </w:p>
        </w:tc>
      </w:tr>
    </w:tbl>
    <w:p>
      <w:pPr>
        <w:spacing w:after="80"/>
      </w:pPr>
    </w:p>
    <w:p>
      <w:pPr>
        <w:spacing w:after="130" w:line="274"/>
        <w:jc w:val="left"/>
      </w:pPr>
      <w:r>
        <w:rPr>
          <w:b/>
          <w:bCs/>
          <w:color w:val="222222"/>
          <w:sz w:val="21"/>
          <w:szCs w:val="21"/>
        </w:rPr>
        <w:t xml:space="preserve">Why now: </w:t>
      </w:r>
      <w:r>
        <w:rPr>
          <w:color w:val="222222"/>
          <w:sz w:val="21"/>
          <w:szCs w:val="21"/>
        </w:rPr>
        <w:t xml:space="preserve">agents must retrieve from curated, cited, in-boundary sources or they become the exact compliance and public-trust disaster the brief warns against. You build 'the RAG part' regardless — you just don't ship it as a separate product.</w:t>
      </w:r>
    </w:p>
    <w:p>
      <w:pPr>
        <w:pStyle w:val="Heading2"/>
      </w:pPr>
      <w:r>
        <w:t xml:space="preserve">Build</w:t>
      </w:r>
    </w:p>
    <w:p>
      <w:pPr>
        <w:pStyle w:val="ListParagraph"/>
        <w:numPr>
          <w:ilvl w:val="0"/>
          <w:numId w:val="2"/>
        </w:numPr>
        <w:spacing w:after="60" w:line="262"/>
      </w:pPr>
      <w:r>
        <w:rPr>
          <w:color w:val="222222"/>
          <w:sz w:val="20"/>
          <w:szCs w:val="20"/>
        </w:rPr>
        <w:t xml:space="preserve">Self-hosted vector index + the governance-model graph store + citation/provenance store + append-only audit log.</w:t>
      </w:r>
    </w:p>
    <w:p>
      <w:pPr>
        <w:pStyle w:val="ListParagraph"/>
        <w:numPr>
          <w:ilvl w:val="0"/>
          <w:numId w:val="2"/>
        </w:numPr>
        <w:spacing w:after="60" w:line="262"/>
      </w:pPr>
      <w:r>
        <w:rPr>
          <w:color w:val="222222"/>
          <w:sz w:val="20"/>
          <w:szCs w:val="20"/>
        </w:rPr>
        <w:t xml:space="preserve">Ingestion for real statutes, administrative rules, ordinances, and GRS retention schedules — normalized with jurisdiction, citation, and effective date.</w:t>
      </w:r>
    </w:p>
    <w:p>
      <w:pPr>
        <w:pStyle w:val="ListParagraph"/>
        <w:numPr>
          <w:ilvl w:val="0"/>
          <w:numId w:val="2"/>
        </w:numPr>
        <w:spacing w:after="60" w:line="262"/>
      </w:pPr>
      <w:r>
        <w:rPr>
          <w:color w:val="222222"/>
          <w:sz w:val="20"/>
          <w:szCs w:val="20"/>
        </w:rPr>
        <w:t xml:space="preserve">A retrieval API that returns passages with their source citations attached.</w:t>
      </w:r>
    </w:p>
    <w:p>
      <w:pPr>
        <w:pStyle w:val="Heading2"/>
      </w:pPr>
      <w:r>
        <w:t xml:space="preserve">Exit gate</w:t>
      </w: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0" w:line="264"/>
            </w:pPr>
            <w:r>
              <w:rPr>
                <w:b/>
                <w:bCs/>
                <w:color w:val="2E7D5B"/>
                <w:sz w:val="19"/>
                <w:szCs w:val="19"/>
              </w:rPr>
              <w:t xml:space="preserve">PROCEED ONLY IF:  </w:t>
            </w:r>
            <w:r>
              <w:rPr>
                <w:color w:val="333333"/>
                <w:sz w:val="20"/>
                <w:szCs w:val="20"/>
              </w:rPr>
              <w:t xml:space="preserve">a human query returns accurate, correctly-cited passages from the real corpus, fully inside the security boundary. Demoable: ask 'what authorizes collecting SSN on a marriage license?' and get the right statute with a citation.</w:t>
            </w:r>
          </w:p>
        </w:tc>
      </w:tr>
    </w:tbl>
    <w:p>
      <w:r>
        <w:br w:type="page"/>
      </w:r>
    </w:p>
    <w:tbl>
      <w:tblPr>
        <w:tblW w:type="dxa" w:w="9360"/>
        <w:tblBorders>
          <w:top w:val="none"/>
          <w:left w:val="single" w:color="9E2B25" w:sz="24"/>
          <w:bottom w:val="none"/>
          <w:right w:val="none"/>
          <w:insideH w:val="single" w:color="auto" w:sz="4"/>
          <w:insideV w:val="single" w:color="auto" w:sz="4"/>
        </w:tblBorders>
      </w:tblPr>
      <w:tblGrid>
        <w:gridCol w:w="9360"/>
      </w:tblGrid>
      <w:tr>
        <w:tc>
          <w:tcPr>
            <w:shd w:fill="FFF0F0" w:val="clear"/>
            <w:tcMar>
              <w:top w:type="dxa" w:w="100"/>
              <w:left w:type="dxa" w:w="200"/>
              <w:bottom w:type="dxa" w:w="100"/>
              <w:right w:type="dxa" w:w="160"/>
            </w:tcMar>
          </w:tcPr>
          <w:p>
            <w:r>
              <w:rPr>
                <w:b/>
                <w:bCs/>
                <w:color w:val="9E2B25"/>
                <w:sz w:val="26"/>
                <w:szCs w:val="26"/>
              </w:rPr>
              <w:t xml:space="preserve">PHASE 2   </w:t>
            </w:r>
            <w:r>
              <w:rPr>
                <w:b/>
                <w:bCs/>
                <w:color w:val="1F3864"/>
                <w:sz w:val="26"/>
                <w:szCs w:val="26"/>
              </w:rPr>
              <w:t xml:space="preserve">One Agent End-to-End — the Canary</w:t>
            </w:r>
            <w:r>
              <w:rPr>
                <w:i/>
                <w:iCs/>
                <w:color w:val="595959"/>
                <w:sz w:val="20"/>
                <w:szCs w:val="20"/>
              </w:rPr>
              <w:t xml:space="preserve">      ·  Weeks 6–11</w:t>
            </w:r>
          </w:p>
        </w:tc>
      </w:tr>
    </w:tbl>
    <w:p>
      <w:pPr>
        <w:spacing w:after="80"/>
      </w:pPr>
    </w:p>
    <w:p>
      <w:pPr>
        <w:spacing w:after="130" w:line="274"/>
        <w:jc w:val="left"/>
      </w:pPr>
      <w:r>
        <w:rPr>
          <w:b/>
          <w:bCs/>
          <w:color w:val="222222"/>
          <w:sz w:val="21"/>
          <w:szCs w:val="21"/>
        </w:rPr>
        <w:t xml:space="preserve">Why one, not ten: </w:t>
      </w:r>
      <w:r>
        <w:rPr>
          <w:color w:val="222222"/>
          <w:sz w:val="21"/>
          <w:szCs w:val="21"/>
        </w:rPr>
        <w:t xml:space="preserve">the brief lists ten agents and the instinct is to build them all at once. That is the trap. Build the </w:t>
      </w:r>
      <w:r>
        <w:rPr>
          <w:b/>
          <w:bCs/>
          <w:color w:val="222222"/>
          <w:sz w:val="21"/>
          <w:szCs w:val="21"/>
        </w:rPr>
        <w:t xml:space="preserve">Legal Authority Agent</w:t>
      </w:r>
      <w:r>
        <w:rPr>
          <w:color w:val="222222"/>
          <w:sz w:val="21"/>
          <w:szCs w:val="21"/>
        </w:rPr>
        <w:t xml:space="preserve"> completely first — it is the hardest (legal reasoning + citation accuracy) and everything downstream (purpose, use, classification) depends on it. If you cannot make one agent reliable and citable, you have no business building nine more.</w:t>
      </w:r>
    </w:p>
    <w:p>
      <w:pPr>
        <w:pStyle w:val="Heading2"/>
      </w:pPr>
      <w:r>
        <w:t xml:space="preserve">Build</w:t>
      </w:r>
    </w:p>
    <w:p>
      <w:pPr>
        <w:pStyle w:val="ListParagraph"/>
        <w:numPr>
          <w:ilvl w:val="0"/>
          <w:numId w:val="2"/>
        </w:numPr>
        <w:spacing w:after="60" w:line="262"/>
      </w:pPr>
      <w:r>
        <w:rPr>
          <w:color w:val="222222"/>
          <w:sz w:val="20"/>
          <w:szCs w:val="20"/>
        </w:rPr>
        <w:t xml:space="preserve">The full agent pattern: scoped retrieval, source set, prompt, output validators, confidence scoring, and citation enforcement (no cite = blocked).</w:t>
      </w:r>
    </w:p>
    <w:p>
      <w:pPr>
        <w:pStyle w:val="ListParagraph"/>
        <w:numPr>
          <w:ilvl w:val="0"/>
          <w:numId w:val="2"/>
        </w:numPr>
        <w:spacing w:after="60" w:line="262"/>
      </w:pPr>
      <w:r>
        <w:rPr>
          <w:b/>
          <w:bCs/>
          <w:color w:val="222222"/>
          <w:sz w:val="21"/>
          <w:szCs w:val="21"/>
        </w:rPr>
        <w:t xml:space="preserve">The human-review console begins here </w:t>
      </w:r>
      <w:r>
        <w:rPr>
          <w:color w:val="222222"/>
          <w:sz w:val="21"/>
          <w:szCs w:val="21"/>
        </w:rPr>
        <w:t xml:space="preserve">— review queue, edit, approve/reject, e-signature. Built alongside the first agent, not after the last.</w:t>
      </w:r>
    </w:p>
    <w:p>
      <w:pPr>
        <w:pStyle w:val="ListParagraph"/>
        <w:numPr>
          <w:ilvl w:val="0"/>
          <w:numId w:val="2"/>
        </w:numPr>
        <w:spacing w:after="60" w:line="262"/>
      </w:pPr>
      <w:r>
        <w:rPr>
          <w:b/>
          <w:bCs/>
          <w:color w:val="222222"/>
          <w:sz w:val="21"/>
          <w:szCs w:val="21"/>
        </w:rPr>
        <w:t xml:space="preserve">Cost &amp; quality instrumentation begins here </w:t>
      </w:r>
      <w:r>
        <w:rPr>
          <w:color w:val="222222"/>
          <w:sz w:val="21"/>
          <w:szCs w:val="21"/>
        </w:rPr>
        <w:t xml:space="preserve">— tokens-per-model and citation-accuracy logged per run from the very first call.</w:t>
      </w:r>
    </w:p>
    <w:p>
      <w:pPr>
        <w:pStyle w:val="Heading2"/>
      </w:pPr>
      <w:r>
        <w:t xml:space="preserve">Exit gate</w:t>
      </w: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0" w:line="264"/>
            </w:pPr>
            <w:r>
              <w:rPr>
                <w:b/>
                <w:bCs/>
                <w:color w:val="2E7D5B"/>
                <w:sz w:val="19"/>
                <w:szCs w:val="19"/>
              </w:rPr>
              <w:t xml:space="preserve">PROCEED ONLY IF:  </w:t>
            </w:r>
            <w:r>
              <w:rPr>
                <w:color w:val="333333"/>
                <w:sz w:val="20"/>
                <w:szCs w:val="20"/>
              </w:rPr>
              <w:t xml:space="preserve">the Legal Authority Agent reproduces the gold model's legal-authority section at a measured accuracy bar, every output is cited, and an officer can approve it in the console. Cost-per-run is known. Demoable: the canary works — the remaining nine are the same pattern with different sources.</w:t>
            </w:r>
          </w:p>
        </w:tc>
      </w:tr>
    </w:tbl>
    <w:p>
      <w:pPr>
        <w:spacing w:after="120"/>
      </w:pPr>
    </w:p>
    <w:tbl>
      <w:tblPr>
        <w:tblW w:type="dxa" w:w="9360"/>
        <w:tblBorders>
          <w:top w:val="single" w:color="FBF0DA" w:sz="1"/>
          <w:left w:val="single" w:color="9C6A00" w:sz="18"/>
          <w:bottom w:val="single" w:color="FBF0DA" w:sz="1"/>
          <w:right w:val="single" w:color="FBF0DA" w:sz="1"/>
          <w:insideH w:val="single" w:color="auto" w:sz="4"/>
          <w:insideV w:val="single" w:color="auto" w:sz="4"/>
        </w:tblBorders>
      </w:tblPr>
      <w:tblGrid>
        <w:gridCol w:w="9360"/>
      </w:tblGrid>
      <w:tr>
        <w:tc>
          <w:tcPr>
            <w:shd w:fill="FBF0DA" w:val="clear"/>
            <w:tcMar>
              <w:top w:type="dxa" w:w="140"/>
              <w:left w:type="dxa" w:w="200"/>
              <w:bottom w:type="dxa" w:w="140"/>
              <w:right w:type="dxa" w:w="200"/>
            </w:tcMar>
          </w:tcPr>
          <w:p>
            <w:pPr>
              <w:spacing w:after="80"/>
            </w:pPr>
            <w:r>
              <w:rPr>
                <w:b/>
                <w:bCs/>
                <w:color w:val="9C6A00"/>
                <w:sz w:val="21"/>
                <w:szCs w:val="21"/>
              </w:rPr>
              <w:t xml:space="preserve">Risk note</w:t>
            </w:r>
          </w:p>
          <w:p>
            <w:pPr>
              <w:spacing w:after="0" w:line="264"/>
            </w:pPr>
            <w:r>
              <w:rPr>
                <w:color w:val="333333"/>
                <w:sz w:val="20"/>
                <w:szCs w:val="20"/>
              </w:rPr>
              <w:t xml:space="preserve">This is where all the genuine engineering risk lives. The eighth agent is cheap; the first is expensive. If the canary cannot hit the accuracy and citation bar here, that is a finding worth surfacing immediately — it is far cheaper to learn it on agent #1 than on a production bill across ten.</w:t>
            </w:r>
          </w:p>
        </w:tc>
      </w:tr>
    </w:tbl>
    <w:p>
      <w:r>
        <w:br w:type="page"/>
      </w:r>
    </w:p>
    <w:tbl>
      <w:tblPr>
        <w:tblW w:type="dxa" w:w="9360"/>
        <w:tblBorders>
          <w:top w:val="none"/>
          <w:left w:val="single" w:color="5F3DC4" w:sz="24"/>
          <w:bottom w:val="none"/>
          <w:right w:val="none"/>
          <w:insideH w:val="single" w:color="auto" w:sz="4"/>
          <w:insideV w:val="single" w:color="auto" w:sz="4"/>
        </w:tblBorders>
      </w:tblPr>
      <w:tblGrid>
        <w:gridCol w:w="9360"/>
      </w:tblGrid>
      <w:tr>
        <w:tc>
          <w:tcPr>
            <w:shd w:fill="EFE9FB" w:val="clear"/>
            <w:tcMar>
              <w:top w:type="dxa" w:w="100"/>
              <w:left w:type="dxa" w:w="200"/>
              <w:bottom w:type="dxa" w:w="100"/>
              <w:right w:type="dxa" w:w="160"/>
            </w:tcMar>
          </w:tcPr>
          <w:p>
            <w:r>
              <w:rPr>
                <w:b/>
                <w:bCs/>
                <w:color w:val="5F3DC4"/>
                <w:sz w:val="26"/>
                <w:szCs w:val="26"/>
              </w:rPr>
              <w:t xml:space="preserve">PHASE 3   </w:t>
            </w:r>
            <w:r>
              <w:rPr>
                <w:b/>
                <w:bCs/>
                <w:color w:val="1F3864"/>
                <w:sz w:val="26"/>
                <w:szCs w:val="26"/>
              </w:rPr>
              <w:t xml:space="preserve">The Agent Fleet + Deterministic Orchestration</w:t>
            </w:r>
            <w:r>
              <w:rPr>
                <w:i/>
                <w:iCs/>
                <w:color w:val="595959"/>
                <w:sz w:val="20"/>
                <w:szCs w:val="20"/>
              </w:rPr>
              <w:t xml:space="preserve">      ·  Weeks 10–18</w:t>
            </w:r>
          </w:p>
        </w:tc>
      </w:tr>
    </w:tbl>
    <w:p>
      <w:pPr>
        <w:spacing w:after="80"/>
      </w:pPr>
    </w:p>
    <w:p>
      <w:pPr>
        <w:spacing w:after="130" w:line="274"/>
        <w:jc w:val="left"/>
      </w:pPr>
      <w:r>
        <w:rPr>
          <w:b/>
          <w:bCs/>
          <w:color w:val="222222"/>
          <w:sz w:val="21"/>
          <w:szCs w:val="21"/>
        </w:rPr>
        <w:t xml:space="preserve">Approach: </w:t>
      </w:r>
      <w:r>
        <w:rPr>
          <w:color w:val="222222"/>
          <w:sz w:val="21"/>
          <w:szCs w:val="21"/>
        </w:rPr>
        <w:t xml:space="preserve">replicate the proven canary pattern across the remaining agents (Purpose, Use, Minimization, Records, Classification, Retention, Decision Point, Redaction, QA). Orchestrate them in a </w:t>
      </w:r>
      <w:r>
        <w:rPr>
          <w:b/>
          <w:bCs/>
          <w:color w:val="222222"/>
          <w:sz w:val="21"/>
          <w:szCs w:val="21"/>
        </w:rPr>
        <w:t xml:space="preserve">hardcoded order</w:t>
      </w:r>
      <w:r>
        <w:rPr>
          <w:color w:val="222222"/>
          <w:sz w:val="21"/>
          <w:szCs w:val="21"/>
        </w:rPr>
        <w:t xml:space="preserve"> over the schema — predictable, debuggable, cheap on tokens. This fixed pipeline alone produces complete governance models.</w:t>
      </w:r>
    </w:p>
    <w:p>
      <w:pPr>
        <w:pStyle w:val="Heading2"/>
      </w:pPr>
      <w:r>
        <w:t xml:space="preserve">Build</w:t>
      </w:r>
    </w:p>
    <w:p>
      <w:pPr>
        <w:pStyle w:val="ListParagraph"/>
        <w:numPr>
          <w:ilvl w:val="0"/>
          <w:numId w:val="2"/>
        </w:numPr>
        <w:spacing w:after="60" w:line="262"/>
      </w:pPr>
      <w:r>
        <w:rPr>
          <w:color w:val="222222"/>
          <w:sz w:val="20"/>
          <w:szCs w:val="20"/>
        </w:rPr>
        <w:t xml:space="preserve">The remaining nine specialist agents, each with its own scoped source set and validators.</w:t>
      </w:r>
    </w:p>
    <w:p>
      <w:pPr>
        <w:pStyle w:val="ListParagraph"/>
        <w:numPr>
          <w:ilvl w:val="0"/>
          <w:numId w:val="2"/>
        </w:numPr>
        <w:spacing w:after="60" w:line="262"/>
      </w:pPr>
      <w:r>
        <w:rPr>
          <w:color w:val="222222"/>
          <w:sz w:val="20"/>
          <w:szCs w:val="20"/>
        </w:rPr>
        <w:t xml:space="preserve">A fixed-sequence orchestrator that walks the schema and assembles a complete model.</w:t>
      </w:r>
    </w:p>
    <w:p>
      <w:pPr>
        <w:pStyle w:val="ListParagraph"/>
        <w:numPr>
          <w:ilvl w:val="0"/>
          <w:numId w:val="2"/>
        </w:numPr>
        <w:spacing w:after="60" w:line="262"/>
      </w:pPr>
      <w:r>
        <w:rPr>
          <w:color w:val="222222"/>
          <w:sz w:val="20"/>
          <w:szCs w:val="20"/>
        </w:rPr>
        <w:t xml:space="preserve">The QA agent + guardrail layer (hallucination checks, confidence thresholds, eval harness against the gold model).</w:t>
      </w:r>
    </w:p>
    <w:p>
      <w:pPr>
        <w:pStyle w:val="Heading2"/>
      </w:pPr>
      <w:r>
        <w:t xml:space="preserve">Exit gate</w:t>
      </w: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0" w:line="264"/>
            </w:pPr>
            <w:r>
              <w:rPr>
                <w:b/>
                <w:bCs/>
                <w:color w:val="2E7D5B"/>
                <w:sz w:val="19"/>
                <w:szCs w:val="19"/>
              </w:rPr>
              <w:t xml:space="preserve">PROCEED ONLY IF:  </w:t>
            </w:r>
            <w:r>
              <w:rPr>
                <w:color w:val="333333"/>
                <w:sz w:val="20"/>
                <w:szCs w:val="20"/>
              </w:rPr>
              <w:t xml:space="preserve">the pipeline produces a complete marriage-license model that an officer approves end-to-end, with known cost-per-model and citation coverage on every field. Demoable: THE FIRST FULL WORKING SYSTEM — a complete, cited governance model generated by the agent fleet and signed by a human.</w:t>
            </w:r>
          </w:p>
        </w:tc>
      </w:tr>
    </w:tbl>
    <w:p>
      <w:pPr>
        <w:spacing w:after="120"/>
      </w:pPr>
    </w:p>
    <w:p>
      <w:pPr>
        <w:spacing w:after="130" w:line="274"/>
        <w:jc w:val="left"/>
      </w:pPr>
      <w:r>
        <w:rPr>
          <w:b/>
          <w:bCs/>
          <w:color w:val="222222"/>
          <w:sz w:val="21"/>
          <w:szCs w:val="21"/>
        </w:rPr>
        <w:t xml:space="preserve">Strategic checkpoint: </w:t>
      </w:r>
      <w:r>
        <w:rPr>
          <w:color w:val="222222"/>
          <w:sz w:val="21"/>
          <w:szCs w:val="21"/>
        </w:rPr>
        <w:t xml:space="preserve">at the end of Phase 3 you have a demonstrable, defensible system. If budget or priorities change, you can stop here with a real deliverable — autonomy (Phases 4–5) is an enhancement, not a prerequisite for value.</w:t>
      </w:r>
    </w:p>
    <w:p>
      <w:r>
        <w:br w:type="page"/>
      </w:r>
    </w:p>
    <w:tbl>
      <w:tblPr>
        <w:tblW w:type="dxa" w:w="9360"/>
        <w:tblBorders>
          <w:top w:val="none"/>
          <w:left w:val="single" w:color="F08C00" w:sz="24"/>
          <w:bottom w:val="none"/>
          <w:right w:val="none"/>
          <w:insideH w:val="single" w:color="auto" w:sz="4"/>
          <w:insideV w:val="single" w:color="auto" w:sz="4"/>
        </w:tblBorders>
      </w:tblPr>
      <w:tblGrid>
        <w:gridCol w:w="9360"/>
      </w:tblGrid>
      <w:tr>
        <w:tc>
          <w:tcPr>
            <w:shd w:fill="FFF4E0" w:val="clear"/>
            <w:tcMar>
              <w:top w:type="dxa" w:w="100"/>
              <w:left w:type="dxa" w:w="200"/>
              <w:bottom w:type="dxa" w:w="100"/>
              <w:right w:type="dxa" w:w="160"/>
            </w:tcMar>
          </w:tcPr>
          <w:p>
            <w:r>
              <w:rPr>
                <w:b/>
                <w:bCs/>
                <w:color w:val="F08C00"/>
                <w:sz w:val="26"/>
                <w:szCs w:val="26"/>
              </w:rPr>
              <w:t xml:space="preserve">PHASE 4   </w:t>
            </w:r>
            <w:r>
              <w:rPr>
                <w:b/>
                <w:bCs/>
                <w:color w:val="1F3864"/>
                <w:sz w:val="26"/>
                <w:szCs w:val="26"/>
              </w:rPr>
              <w:t xml:space="preserve">Supervised Dynamic Dispatch + Conflict Resolution</w:t>
            </w:r>
            <w:r>
              <w:rPr>
                <w:i/>
                <w:iCs/>
                <w:color w:val="595959"/>
                <w:sz w:val="20"/>
                <w:szCs w:val="20"/>
              </w:rPr>
              <w:t xml:space="preserve">      ·  Weeks 16–24</w:t>
            </w:r>
          </w:p>
        </w:tc>
      </w:tr>
    </w:tbl>
    <w:p>
      <w:pPr>
        <w:spacing w:after="80"/>
      </w:pPr>
    </w:p>
    <w:p>
      <w:pPr>
        <w:spacing w:after="130" w:line="274"/>
        <w:jc w:val="left"/>
      </w:pPr>
      <w:r>
        <w:rPr>
          <w:b/>
          <w:bCs/>
          <w:color w:val="222222"/>
          <w:sz w:val="21"/>
          <w:szCs w:val="21"/>
        </w:rPr>
        <w:t xml:space="preserve">First real autonomy: </w:t>
      </w:r>
      <w:r>
        <w:rPr>
          <w:color w:val="222222"/>
          <w:sz w:val="21"/>
          <w:szCs w:val="21"/>
        </w:rPr>
        <w:t xml:space="preserve">let the orchestrator decide which agents to invoke and reconcile genuine conflicts (e.g., Classification says public, Redaction says protected) — but within bounded loops and hard token budgets, escalating only true conflicts to humans.</w:t>
      </w:r>
    </w:p>
    <w:p>
      <w:pPr>
        <w:pStyle w:val="Heading2"/>
      </w:pPr>
      <w:r>
        <w:t xml:space="preserve">Build</w:t>
      </w:r>
    </w:p>
    <w:p>
      <w:pPr>
        <w:pStyle w:val="ListParagraph"/>
        <w:numPr>
          <w:ilvl w:val="0"/>
          <w:numId w:val="2"/>
        </w:numPr>
        <w:spacing w:after="60" w:line="262"/>
      </w:pPr>
      <w:r>
        <w:rPr>
          <w:color w:val="222222"/>
          <w:sz w:val="20"/>
          <w:szCs w:val="20"/>
        </w:rPr>
        <w:t xml:space="preserve">Supervisor logic for agent selection and inter-agent conflict reconciliation.</w:t>
      </w:r>
    </w:p>
    <w:p>
      <w:pPr>
        <w:pStyle w:val="ListParagraph"/>
        <w:numPr>
          <w:ilvl w:val="0"/>
          <w:numId w:val="2"/>
        </w:numPr>
        <w:spacing w:after="60" w:line="262"/>
      </w:pPr>
      <w:r>
        <w:rPr>
          <w:color w:val="222222"/>
          <w:sz w:val="20"/>
          <w:szCs w:val="20"/>
        </w:rPr>
        <w:t xml:space="preserve">Bounded reasoning loops with per-run token ceilings (the cost-control mechanism).</w:t>
      </w:r>
    </w:p>
    <w:p>
      <w:pPr>
        <w:pStyle w:val="ListParagraph"/>
        <w:numPr>
          <w:ilvl w:val="0"/>
          <w:numId w:val="2"/>
        </w:numPr>
        <w:spacing w:after="60" w:line="262"/>
      </w:pPr>
      <w:r>
        <w:rPr>
          <w:color w:val="222222"/>
          <w:sz w:val="20"/>
          <w:szCs w:val="20"/>
        </w:rPr>
        <w:t xml:space="preserve">Conflict-adjudication queue in the human console.</w:t>
      </w:r>
    </w:p>
    <w:p>
      <w:pPr>
        <w:pStyle w:val="Heading2"/>
      </w:pPr>
      <w:r>
        <w:t xml:space="preserve">Exit gate</w:t>
      </w: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0" w:line="264"/>
            </w:pPr>
            <w:r>
              <w:rPr>
                <w:b/>
                <w:bCs/>
                <w:color w:val="2E7D5B"/>
                <w:sz w:val="19"/>
                <w:szCs w:val="19"/>
              </w:rPr>
              <w:t xml:space="preserve">PROCEED ONLY IF:  </w:t>
            </w:r>
            <w:r>
              <w:rPr>
                <w:color w:val="333333"/>
                <w:sz w:val="20"/>
                <w:szCs w:val="20"/>
              </w:rPr>
              <w:t xml:space="preserve">dynamic dispatch matches or beats the fixed pipeline's quality at acceptable, bounded cost, and conflicts are surfaced to humans rather than silently resolved. Demoable: the system reconciling a classification-vs-redaction conflict and escalating the genuine edge case.</w:t>
            </w:r>
          </w:p>
        </w:tc>
      </w:tr>
    </w:tbl>
    <w:p>
      <w:pPr>
        <w:spacing w:after="140"/>
      </w:pPr>
    </w:p>
    <w:tbl>
      <w:tblPr>
        <w:tblW w:type="dxa" w:w="9360"/>
        <w:tblBorders>
          <w:top w:val="none"/>
          <w:left w:val="single" w:color="1864AB" w:sz="24"/>
          <w:bottom w:val="none"/>
          <w:right w:val="none"/>
          <w:insideH w:val="single" w:color="auto" w:sz="4"/>
          <w:insideV w:val="single" w:color="auto" w:sz="4"/>
        </w:tblBorders>
      </w:tblPr>
      <w:tblGrid>
        <w:gridCol w:w="9360"/>
      </w:tblGrid>
      <w:tr>
        <w:tc>
          <w:tcPr>
            <w:shd w:fill="E7F0FB" w:val="clear"/>
            <w:tcMar>
              <w:top w:type="dxa" w:w="100"/>
              <w:left w:type="dxa" w:w="200"/>
              <w:bottom w:type="dxa" w:w="100"/>
              <w:right w:type="dxa" w:w="160"/>
            </w:tcMar>
          </w:tcPr>
          <w:p>
            <w:r>
              <w:rPr>
                <w:b/>
                <w:bCs/>
                <w:color w:val="1864AB"/>
                <w:sz w:val="26"/>
                <w:szCs w:val="26"/>
              </w:rPr>
              <w:t xml:space="preserve">PHASE 5   </w:t>
            </w:r>
            <w:r>
              <w:rPr>
                <w:b/>
                <w:bCs/>
                <w:color w:val="1F3864"/>
                <w:sz w:val="26"/>
                <w:szCs w:val="26"/>
              </w:rPr>
              <w:t xml:space="preserve">Continuous Monitoring Autonomy — the True Agentic Win</w:t>
            </w:r>
            <w:r>
              <w:rPr>
                <w:i/>
                <w:iCs/>
                <w:color w:val="595959"/>
                <w:sz w:val="20"/>
                <w:szCs w:val="20"/>
              </w:rPr>
              <w:t xml:space="preserve">      ·  Weeks 22–32</w:t>
            </w:r>
          </w:p>
        </w:tc>
      </w:tr>
    </w:tbl>
    <w:p>
      <w:pPr>
        <w:spacing w:after="80"/>
      </w:pPr>
    </w:p>
    <w:p>
      <w:pPr>
        <w:spacing w:after="130" w:line="274"/>
        <w:jc w:val="left"/>
      </w:pPr>
      <w:r>
        <w:rPr>
          <w:b/>
          <w:bCs/>
          <w:color w:val="222222"/>
          <w:sz w:val="21"/>
          <w:szCs w:val="21"/>
        </w:rPr>
        <w:t xml:space="preserve">The capability RAG cannot match: </w:t>
      </w:r>
      <w:r>
        <w:rPr>
          <w:color w:val="222222"/>
          <w:sz w:val="21"/>
          <w:szCs w:val="21"/>
        </w:rPr>
        <w:t xml:space="preserve">change-detection workers watch legislative feeds and retention-schedule updates; when a relevant law changes, the system proactively identifies affected models and proposes updates for human approval — the brief's headline requirement, built last on a proven base.</w:t>
      </w:r>
    </w:p>
    <w:p>
      <w:pPr>
        <w:pStyle w:val="Heading2"/>
      </w:pPr>
      <w:r>
        <w:t xml:space="preserve">Build</w:t>
      </w:r>
    </w:p>
    <w:p>
      <w:pPr>
        <w:pStyle w:val="ListParagraph"/>
        <w:numPr>
          <w:ilvl w:val="0"/>
          <w:numId w:val="2"/>
        </w:numPr>
        <w:spacing w:after="60" w:line="262"/>
      </w:pPr>
      <w:r>
        <w:rPr>
          <w:color w:val="222222"/>
          <w:sz w:val="20"/>
          <w:szCs w:val="20"/>
        </w:rPr>
        <w:t xml:space="preserve">Continuous legal-change detection feeding the orchestrator (auto re-evaluation trigger).</w:t>
      </w:r>
    </w:p>
    <w:p>
      <w:pPr>
        <w:pStyle w:val="ListParagraph"/>
        <w:numPr>
          <w:ilvl w:val="0"/>
          <w:numId w:val="2"/>
        </w:numPr>
        <w:spacing w:after="60" w:line="262"/>
      </w:pPr>
      <w:r>
        <w:rPr>
          <w:color w:val="222222"/>
          <w:sz w:val="20"/>
          <w:szCs w:val="20"/>
        </w:rPr>
        <w:t xml:space="preserve">Proposal generation: affected models flagged, diffs drafted, routed to the review queue.</w:t>
      </w:r>
    </w:p>
    <w:p>
      <w:pPr>
        <w:pStyle w:val="ListParagraph"/>
        <w:numPr>
          <w:ilvl w:val="0"/>
          <w:numId w:val="2"/>
        </w:numPr>
        <w:spacing w:after="60" w:line="262"/>
      </w:pPr>
      <w:r>
        <w:rPr>
          <w:color w:val="222222"/>
          <w:sz w:val="20"/>
          <w:szCs w:val="20"/>
        </w:rPr>
        <w:t xml:space="preserve">Version management — approved updates written back to the graph and audit log as new published versions.</w:t>
      </w:r>
    </w:p>
    <w:p>
      <w:pPr>
        <w:pStyle w:val="Heading2"/>
      </w:pPr>
      <w:r>
        <w:t xml:space="preserve">Exit gate</w:t>
      </w: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0" w:line="264"/>
            </w:pPr>
            <w:r>
              <w:rPr>
                <w:b/>
                <w:bCs/>
                <w:color w:val="2E7D5B"/>
                <w:sz w:val="19"/>
                <w:szCs w:val="19"/>
              </w:rPr>
              <w:t xml:space="preserve">DONE WHEN:  </w:t>
            </w:r>
            <w:r>
              <w:rPr>
                <w:color w:val="333333"/>
                <w:sz w:val="20"/>
                <w:szCs w:val="20"/>
              </w:rPr>
              <w:t xml:space="preserve">a simulated new statute is detected automatically, the right model is flagged, an update is proposed, a human approves it, and a new version publishes — with full audit trail. Demoable: THE FULL BRIEF VISION — autonomous maintenance with human oversight and version control, end to end.</w:t>
            </w:r>
          </w:p>
        </w:tc>
      </w:tr>
    </w:tbl>
    <w:p>
      <w:pPr>
        <w:spacing w:after="160"/>
      </w:pPr>
    </w:p>
    <w:p>
      <w:pPr>
        <w:pStyle w:val="Heading1"/>
      </w:pPr>
      <w:r>
        <w:t xml:space="preserve">The Honest Meta-Point</w:t>
      </w:r>
    </w:p>
    <w:p>
      <w:pPr>
        <w:spacing w:after="130" w:line="274"/>
        <w:jc w:val="left"/>
      </w:pPr>
      <w:r>
        <w:rPr>
          <w:color w:val="222222"/>
          <w:sz w:val="21"/>
          <w:szCs w:val="21"/>
        </w:rPr>
        <w:t xml:space="preserve">This roadmap </w:t>
      </w:r>
      <w:r>
        <w:rPr>
          <w:b/>
          <w:bCs/>
          <w:color w:val="222222"/>
          <w:sz w:val="21"/>
          <w:szCs w:val="21"/>
        </w:rPr>
        <w:t xml:space="preserve">recovers RAG-first discipline inside an agent-first project.</w:t>
      </w:r>
      <w:r>
        <w:rPr>
          <w:color w:val="222222"/>
          <w:sz w:val="21"/>
          <w:szCs w:val="21"/>
        </w:rPr>
        <w:t xml:space="preserve"> Phases 0–2 build the schema, corpus, citation layer, and human workflow — exactly the RAG substrate — because autonomy is worthless without them. The difference from the recommended path is that you absorb more integration risk (autonomy is wired in before each piece is independently proven) and your first demonstrable output arrives at the end of Phase 3 rather than in week 10. Same destination, more risk, later proof. The phase gates are how you keep that risk survivable for a public body that must answer to both auditors and the public.</w:t>
      </w:r>
    </w:p>
    <w:p>
      <w:pPr>
        <w:spacing w:after="80"/>
      </w:pP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80"/>
            </w:pPr>
            <w:r>
              <w:rPr>
                <w:b/>
                <w:bCs/>
                <w:color w:val="2E7D5B"/>
                <w:sz w:val="21"/>
                <w:szCs w:val="21"/>
              </w:rPr>
              <w:t xml:space="preserve">One sentence for the sponsors</w:t>
            </w:r>
          </w:p>
          <w:p>
            <w:pPr>
              <w:spacing w:after="0" w:line="264"/>
            </w:pPr>
            <w:r>
              <w:rPr>
                <w:color w:val="333333"/>
                <w:sz w:val="20"/>
                <w:szCs w:val="20"/>
              </w:rPr>
              <w:t xml:space="preserve">If we go agent-first, we still build the foundations first — we just commit to autonomy on top of them, gate by gate, with the ability to stop at Phase 3 with a complete, defensible, human-signed governance system already in hand.</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space="4"/>
      </w:pBdr>
      <w:jc w:val="center"/>
    </w:pPr>
    <w:r>
      <w:rPr>
        <w:color w:val="595959"/>
        <w:sz w:val="16"/>
        <w:szCs w:val="16"/>
      </w:rPr>
      <w:t xml:space="preserve">Companion to the Agentic Architecture Map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jc w:val="right"/>
    </w:pPr>
    <w:r>
      <w:rPr>
        <w:color w:val="595959"/>
        <w:sz w:val="16"/>
        <w:szCs w:val="16"/>
      </w:rPr>
      <w:t xml:space="preserve">Agent-First Build Roadmap  ·  Data Governance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6"/>
      </w:pBdr>
      <w:spacing w:after="14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70" w:before="120"/>
      <w:outlineLvl w:val="1"/>
    </w:pPr>
    <w:rPr>
      <w:rFonts w:ascii="Calibri" w:cs="Calibri" w:eastAsia="Calibri" w:hAnsi="Calibri"/>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Agent-First Build Roadmap — County Data Governance Orchestration</dc:title>
  <dc:creator>Agent-First Build Roadmap</dc:creator>
  <cp:lastModifiedBy>Un-named</cp:lastModifiedBy>
  <cp:revision>1</cp:revision>
  <dcterms:created xsi:type="dcterms:W3CDTF">2026-06-18T07:17:01.766Z</dcterms:created>
  <dcterms:modified xsi:type="dcterms:W3CDTF">2026-06-18T07:17:01.767Z</dcterms:modified>
</cp:coreProperties>
</file>

<file path=docProps/custom.xml><?xml version="1.0" encoding="utf-8"?>
<Properties xmlns="http://schemas.openxmlformats.org/officeDocument/2006/custom-properties" xmlns:vt="http://schemas.openxmlformats.org/officeDocument/2006/docPropsVTypes"/>
</file>