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60"/>
        <w:jc w:val="center"/>
      </w:pPr>
      <w:r>
        <w:rPr>
          <w:b/>
          <w:bCs/>
          <w:caps/>
          <w:color w:val="4472C4"/>
          <w:sz w:val="24"/>
          <w:szCs w:val="24"/>
        </w:rPr>
        <w:t xml:space="preserve">STRATEGIC ARCHITECTURE &amp; COST ANALYSIS</w:t>
      </w:r>
    </w:p>
    <w:p>
      <w:pPr>
        <w:pBdr>
          <w:bottom w:val="single" w:color="4472C4" w:sz="6" w:space="8"/>
        </w:pBdr>
        <w:spacing w:after="200"/>
        <w:jc w:val="center"/>
      </w:pPr>
      <w:r>
        <w:rPr>
          <w:sz w:val="8"/>
          <w:szCs w:val="8"/>
        </w:rPr>
        <w:t xml:space="preserve"/>
      </w:r>
    </w:p>
    <w:p>
      <w:pPr>
        <w:spacing w:after="160"/>
        <w:jc w:val="center"/>
      </w:pPr>
      <w:r>
        <w:rPr>
          <w:b/>
          <w:bCs/>
          <w:color w:val="1F3864"/>
          <w:sz w:val="52"/>
          <w:szCs w:val="52"/>
        </w:rPr>
        <w:t xml:space="preserve">Governing Public Data at Scale</w:t>
      </w:r>
    </w:p>
    <w:p>
      <w:pPr>
        <w:spacing w:after="360"/>
        <w:jc w:val="center"/>
      </w:pPr>
      <w:r>
        <w:rPr>
          <w:i/>
          <w:iCs/>
          <w:color w:val="595959"/>
          <w:sz w:val="26"/>
          <w:szCs w:val="26"/>
        </w:rPr>
        <w:t xml:space="preserve">A Two-Pronged Implementation Path for County Data Governance Model Orchestration</w:t>
      </w:r>
    </w:p>
    <w:p>
      <w:pPr>
        <w:spacing w:after="80"/>
        <w:jc w:val="center"/>
      </w:pPr>
      <w:r>
        <w:rPr>
          <w:b/>
          <w:bCs/>
          <w:color w:val="2E7D5B"/>
          <w:sz w:val="22"/>
          <w:szCs w:val="22"/>
        </w:rPr>
        <w:t xml:space="preserve">Prong 1  ·  Retrieval-Augmented Governance Assistant  (recommended today)</w:t>
      </w:r>
    </w:p>
    <w:p>
      <w:pPr>
        <w:spacing w:after="700"/>
        <w:jc w:val="center"/>
      </w:pPr>
      <w:r>
        <w:rPr>
          <w:b/>
          <w:bCs/>
          <w:color w:val="9C6A00"/>
          <w:sz w:val="22"/>
          <w:szCs w:val="22"/>
        </w:rPr>
        <w:t xml:space="preserve">Prong 2  ·  Agentic AI Orchestration  (a costed future milestone)</w:t>
      </w:r>
    </w:p>
    <w:tbl>
      <w:tblPr>
        <w:tblW w:type="dxa" w:w="9360"/>
        <w:tblBorders>
          <w:top w:val="single" w:color="EAF0FA" w:sz="1"/>
          <w:left w:val="single" w:color="4472C4" w:sz="18"/>
          <w:bottom w:val="single" w:color="EAF0FA" w:sz="1"/>
          <w:right w:val="single" w:color="EAF0FA" w:sz="1"/>
          <w:insideH w:val="single" w:color="auto" w:sz="4"/>
          <w:insideV w:val="single" w:color="auto" w:sz="4"/>
        </w:tblBorders>
      </w:tblPr>
      <w:tblGrid>
        <w:gridCol w:w="9360"/>
      </w:tblGrid>
      <w:tr>
        <w:tc>
          <w:tcPr>
            <w:shd w:fill="EAF0FA" w:val="clear"/>
            <w:tcMar>
              <w:top w:type="dxa" w:w="140"/>
              <w:left w:type="dxa" w:w="200"/>
              <w:bottom w:type="dxa" w:w="140"/>
              <w:right w:type="dxa" w:w="200"/>
            </w:tcMar>
          </w:tcPr>
          <w:p>
            <w:pPr>
              <w:spacing w:after="70" w:line="264"/>
            </w:pPr>
            <w:r>
              <w:rPr>
                <w:b/>
                <w:bCs/>
                <w:color w:val="1F3864"/>
                <w:sz w:val="20"/>
                <w:szCs w:val="20"/>
              </w:rPr>
              <w:t xml:space="preserve">Prepared for: </w:t>
            </w:r>
            <w:r>
              <w:rPr>
                <w:color w:val="333333"/>
                <w:sz w:val="20"/>
                <w:szCs w:val="20"/>
              </w:rPr>
              <w:t xml:space="preserve">Utah Office of Data Privacy  ·  Gary R. Herbert Institute for Public Policy, Utah Valley University</w:t>
            </w:r>
          </w:p>
          <w:p>
            <w:pPr>
              <w:spacing w:after="70" w:line="264"/>
            </w:pPr>
            <w:r>
              <w:rPr>
                <w:b/>
                <w:bCs/>
                <w:color w:val="1F3864"/>
                <w:sz w:val="20"/>
                <w:szCs w:val="20"/>
              </w:rPr>
              <w:t xml:space="preserve">Subject: </w:t>
            </w:r>
            <w:r>
              <w:rPr>
                <w:color w:val="333333"/>
                <w:sz w:val="20"/>
                <w:szCs w:val="20"/>
              </w:rPr>
              <w:t xml:space="preserve">County Data Governance Model Orchestration Bounty</w:t>
            </w:r>
          </w:p>
          <w:p>
            <w:pPr>
              <w:spacing w:after="0" w:line="264"/>
            </w:pPr>
            <w:r>
              <w:rPr>
                <w:b/>
                <w:bCs/>
                <w:color w:val="1F3864"/>
                <w:sz w:val="20"/>
                <w:szCs w:val="20"/>
              </w:rPr>
              <w:t xml:space="preserve">Scope: </w:t>
            </w:r>
            <w:r>
              <w:rPr>
                <w:color w:val="333333"/>
                <w:sz w:val="20"/>
                <w:szCs w:val="20"/>
              </w:rPr>
              <w:t xml:space="preserve">Implementation architecture and total cost of ownership — not a finished prototype</w:t>
            </w:r>
          </w:p>
        </w:tc>
      </w:tr>
    </w:tbl>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jc w:val="left"/>
      </w:pPr>
      <w:r>
        <w:rPr>
          <w:b/>
          <w:bCs/>
          <w:color w:val="222222"/>
          <w:sz w:val="21"/>
          <w:szCs w:val="21"/>
        </w:rPr>
        <w:t xml:space="preserve">The brief asks for AI agent orchestration. The harder, more useful answer is a sequence. </w:t>
      </w:r>
      <w:r>
        <w:rPr>
          <w:color w:val="222222"/>
          <w:sz w:val="21"/>
          <w:szCs w:val="21"/>
        </w:rPr>
        <w:t xml:space="preserve">This document delivers an actionable architecture for the full agentic system the sponsors envision </w:t>
      </w:r>
      <w:r>
        <w:rPr>
          <w:b/>
          <w:bCs/>
          <w:color w:val="222222"/>
          <w:sz w:val="21"/>
          <w:szCs w:val="21"/>
        </w:rPr>
        <w:t xml:space="preserve">and</w:t>
      </w:r>
      <w:r>
        <w:rPr>
          <w:color w:val="222222"/>
          <w:sz w:val="21"/>
          <w:szCs w:val="21"/>
        </w:rPr>
        <w:t xml:space="preserve"> a leaner retrieval-based system that delivers most of the same governance value far sooner, for a fraction of the cost, with materially lower compliance and public-trust risk. The recommendation is to </w:t>
      </w:r>
      <w:r>
        <w:rPr>
          <w:b/>
          <w:bCs/>
          <w:color w:val="222222"/>
          <w:sz w:val="21"/>
          <w:szCs w:val="21"/>
        </w:rPr>
        <w:t xml:space="preserve">build the leaner system first and treat full agentic orchestration as a milestone-gated upgrade — not the starting point.</w:t>
      </w:r>
    </w:p>
    <w:tbl>
      <w:tblPr>
        <w:tblW w:type="dxa" w:w="9360"/>
        <w:tblBorders>
          <w:top w:val="single" w:color="EAF0FA" w:sz="1"/>
          <w:left w:val="single" w:color="1F3864" w:sz="18"/>
          <w:bottom w:val="single" w:color="EAF0FA" w:sz="1"/>
          <w:right w:val="single" w:color="EAF0FA" w:sz="1"/>
          <w:insideH w:val="single" w:color="auto" w:sz="4"/>
          <w:insideV w:val="single" w:color="auto" w:sz="4"/>
        </w:tblBorders>
      </w:tblPr>
      <w:tblGrid>
        <w:gridCol w:w="9360"/>
      </w:tblGrid>
      <w:tr>
        <w:tc>
          <w:tcPr>
            <w:shd w:fill="EAF0FA" w:val="clear"/>
            <w:tcMar>
              <w:top w:type="dxa" w:w="140"/>
              <w:left w:type="dxa" w:w="200"/>
              <w:bottom w:type="dxa" w:w="140"/>
              <w:right w:type="dxa" w:w="200"/>
            </w:tcMar>
          </w:tcPr>
          <w:p>
            <w:pPr>
              <w:spacing w:after="80"/>
            </w:pPr>
            <w:r>
              <w:rPr>
                <w:b/>
                <w:bCs/>
                <w:color w:val="1F3864"/>
                <w:sz w:val="21"/>
                <w:szCs w:val="21"/>
              </w:rPr>
              <w:t xml:space="preserve">The core argument in three sentences</w:t>
            </w:r>
          </w:p>
          <w:p>
            <w:pPr>
              <w:spacing w:after="70" w:line="264"/>
            </w:pPr>
            <w:r>
              <w:rPr>
                <w:color w:val="333333"/>
                <w:sz w:val="20"/>
                <w:szCs w:val="20"/>
              </w:rPr>
              <w:t xml:space="preserve">1.  The governance problem is fundamentally a structured-knowledge problem — capturing, standardizing, and maintaining the lifecycle rules for public data — not an autonomy problem.</w:t>
            </w:r>
          </w:p>
          <w:p>
            <w:pPr>
              <w:spacing w:after="70" w:line="264"/>
            </w:pPr>
            <w:r>
              <w:rPr>
                <w:color w:val="333333"/>
                <w:sz w:val="20"/>
                <w:szCs w:val="20"/>
              </w:rPr>
              <w:t xml:space="preserve">2.  A Retrieval-Augmented Generation (RAG) system with a fixed, human-supervised workflow can produce the same marriage-license-style governance models, with full citations, at roughly one-fifth the build cost and one-quarter the annual running cost of a fully autonomous multi-agent system.</w:t>
            </w:r>
          </w:p>
          <w:p>
            <w:pPr>
              <w:spacing w:after="0" w:line="264"/>
            </w:pPr>
            <w:r>
              <w:rPr>
                <w:color w:val="333333"/>
                <w:sz w:val="20"/>
                <w:szCs w:val="20"/>
              </w:rPr>
              <w:t xml:space="preserve">3.  Full agentic orchestration adds genuine value for continuous, unsupervised legal-change monitoring at scale — but its token economics, operational complexity, and autonomous-decision risk are exactly the wrong first commitment for a cash-constrained, compliance-scrutinized public body.</w:t>
            </w:r>
          </w:p>
        </w:tc>
      </w:tr>
    </w:tbl>
    <w:p>
      <w:pPr>
        <w:spacing w:after="80"/>
      </w:pPr>
    </w:p>
    <w:p>
      <w:pPr>
        <w:pStyle w:val="Heading2"/>
      </w:pPr>
      <w:r>
        <w:t xml:space="preserve">1.1  The two prongs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Dimension</w:t>
            </w:r>
          </w:p>
        </w:tc>
        <w:tc>
          <w:tcPr>
            <w:tcW w:type="dxa" w:w="383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Prong 1 — RAG Assistant (today)</w:t>
            </w:r>
          </w:p>
        </w:tc>
        <w:tc>
          <w:tcPr>
            <w:tcW w:type="dxa" w:w="383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Prong 2 — Agentic Orchestration (future)</w:t>
            </w:r>
          </w:p>
        </w:tc>
      </w:tr>
      <w:tr>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What it does</w:t>
            </w:r>
          </w:p>
        </w:tc>
        <w:tc>
          <w:tcPr>
            <w:tcW w:type="dxa" w:w="38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Generates and maintains governance models through a fixed, human-driven workflow with cited retrieval.</w:t>
            </w:r>
          </w:p>
        </w:tc>
        <w:tc>
          <w:tcPr>
            <w:tcW w:type="dxa" w:w="38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Autonomous specialized agents create, monitor, and propose updates to models continuously at scale.</w:t>
            </w:r>
          </w:p>
        </w:tc>
      </w:tr>
      <w:tr>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Time to first model</w:t>
            </w:r>
          </w:p>
        </w:tc>
        <w:tc>
          <w:tcPr>
            <w:tcW w:type="dxa" w:w="38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2E7D5B"/>
                <w:sz w:val="18"/>
                <w:szCs w:val="18"/>
              </w:rPr>
              <w:t xml:space="preserve">8–12 weeks</w:t>
            </w:r>
          </w:p>
        </w:tc>
        <w:tc>
          <w:tcPr>
            <w:tcW w:type="dxa" w:w="38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9C6A00"/>
                <w:sz w:val="18"/>
                <w:szCs w:val="18"/>
              </w:rPr>
              <w:t xml:space="preserve">6–10 months</w:t>
            </w:r>
          </w:p>
        </w:tc>
      </w:tr>
      <w:tr>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One-time build</w:t>
            </w:r>
          </w:p>
        </w:tc>
        <w:tc>
          <w:tcPr>
            <w:tcW w:type="dxa" w:w="38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2E7D5B"/>
                <w:sz w:val="18"/>
                <w:szCs w:val="18"/>
              </w:rPr>
              <w:t xml:space="preserve">$95K – $185K</w:t>
            </w:r>
          </w:p>
        </w:tc>
        <w:tc>
          <w:tcPr>
            <w:tcW w:type="dxa" w:w="38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9C6A00"/>
                <w:sz w:val="18"/>
                <w:szCs w:val="18"/>
              </w:rPr>
              <w:t xml:space="preserve">$330K – $640K</w:t>
            </w:r>
          </w:p>
        </w:tc>
      </w:tr>
      <w:tr>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Annual run (ex-labor)</w:t>
            </w:r>
          </w:p>
        </w:tc>
        <w:tc>
          <w:tcPr>
            <w:tcW w:type="dxa" w:w="38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2E7D5B"/>
                <w:sz w:val="18"/>
                <w:szCs w:val="18"/>
              </w:rPr>
              <w:t xml:space="preserve">$45K – $95K</w:t>
            </w:r>
          </w:p>
        </w:tc>
        <w:tc>
          <w:tcPr>
            <w:tcW w:type="dxa" w:w="38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9C6A00"/>
                <w:sz w:val="18"/>
                <w:szCs w:val="18"/>
              </w:rPr>
              <w:t xml:space="preserve">$180K – $430K</w:t>
            </w:r>
          </w:p>
        </w:tc>
      </w:tr>
      <w:tr>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Compliance posture</w:t>
            </w:r>
          </w:p>
        </w:tc>
        <w:tc>
          <w:tcPr>
            <w:tcW w:type="dxa" w:w="38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Fully self-hostable; deterministic workflow; every output cited and human-approved.</w:t>
            </w:r>
          </w:p>
        </w:tc>
        <w:tc>
          <w:tcPr>
            <w:tcW w:type="dxa" w:w="38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Achievable but harder — autonomous behavior, broader data access, larger audit surface.</w:t>
            </w:r>
          </w:p>
        </w:tc>
      </w:tr>
      <w:tr>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Public-scrutiny risk</w:t>
            </w:r>
          </w:p>
        </w:tc>
        <w:tc>
          <w:tcPr>
            <w:tcW w:type="dxa" w:w="38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Low — AI assists, humans decide and sign.</w:t>
            </w:r>
          </w:p>
        </w:tc>
        <w:tc>
          <w:tcPr>
            <w:tcW w:type="dxa" w:w="38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Higher — perception of 'AI deciding the law' must be actively managed.</w:t>
            </w:r>
          </w:p>
        </w:tc>
      </w:tr>
      <w:tr>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Best framing</w:t>
            </w:r>
          </w:p>
        </w:tc>
        <w:tc>
          <w:tcPr>
            <w:tcW w:type="dxa" w:w="38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Operational governance infrastructure you can stand behind today.</w:t>
            </w:r>
          </w:p>
        </w:tc>
        <w:tc>
          <w:tcPr>
            <w:tcW w:type="dxa" w:w="38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 scaling layer earned after the knowledge base and human workflow are proven.</w:t>
            </w:r>
          </w:p>
        </w:tc>
      </w:tr>
    </w:tbl>
    <w:p>
      <w:pPr>
        <w:spacing w:after="120"/>
      </w:pPr>
    </w:p>
    <w:p>
      <w:pPr>
        <w:spacing w:after="140" w:line="276"/>
        <w:jc w:val="left"/>
      </w:pPr>
      <w:r>
        <w:rPr>
          <w:b/>
          <w:bCs/>
          <w:color w:val="222222"/>
          <w:sz w:val="21"/>
          <w:szCs w:val="21"/>
        </w:rPr>
        <w:t xml:space="preserve">Bottom line for the sponsors: </w:t>
      </w:r>
      <w:r>
        <w:rPr>
          <w:color w:val="222222"/>
          <w:sz w:val="21"/>
          <w:szCs w:val="21"/>
        </w:rPr>
        <w:t xml:space="preserve">you do not have to choose between ambition and prudence. Prong 1 gives you a defensible, demonstrable win this quarter and </w:t>
      </w:r>
      <w:r>
        <w:rPr>
          <w:b/>
          <w:bCs/>
          <w:color w:val="222222"/>
          <w:sz w:val="21"/>
          <w:szCs w:val="21"/>
        </w:rPr>
        <w:t xml:space="preserve">becomes the foundation</w:t>
      </w:r>
      <w:r>
        <w:rPr>
          <w:color w:val="222222"/>
          <w:sz w:val="21"/>
          <w:szCs w:val="21"/>
        </w:rPr>
        <w:t xml:space="preserve"> that Prong 2 is built on. Every dollar spent on the RAG system — the corpus, the schema, the human-review workflow, the citation layer — is reused, not discarded, when you graduate to agents.</w:t>
      </w:r>
    </w:p>
    <w:p>
      <w:r>
        <w:br w:type="page"/>
      </w:r>
    </w:p>
    <w:p>
      <w:pPr>
        <w:pStyle w:val="Heading1"/>
      </w:pPr>
      <w:r>
        <w:t xml:space="preserve">2.  Reframing the Problem</w:t>
      </w:r>
    </w:p>
    <w:p>
      <w:pPr>
        <w:spacing w:after="140" w:line="276"/>
        <w:jc w:val="left"/>
      </w:pPr>
      <w:r>
        <w:rPr>
          <w:color w:val="222222"/>
          <w:sz w:val="21"/>
          <w:szCs w:val="21"/>
        </w:rPr>
        <w:t xml:space="preserve">The brief states the objective plainly: the goal is </w:t>
      </w:r>
      <w:r>
        <w:rPr>
          <w:b/>
          <w:bCs/>
          <w:color w:val="222222"/>
          <w:sz w:val="21"/>
          <w:szCs w:val="21"/>
        </w:rPr>
        <w:t xml:space="preserve">not simply to build an AI system</w:t>
      </w:r>
      <w:r>
        <w:rPr>
          <w:color w:val="222222"/>
          <w:sz w:val="21"/>
          <w:szCs w:val="21"/>
        </w:rPr>
        <w:t xml:space="preserve">, but to demonstrate how AI can create and maintain comprehensive governance models at scale. That distinction matters enormously for what to build first.</w:t>
      </w:r>
    </w:p>
    <w:p>
      <w:pPr>
        <w:pStyle w:val="Heading2"/>
      </w:pPr>
      <w:r>
        <w:t xml:space="preserve">2.1  This is a structured-knowledge problem before it is an autonomy problem</w:t>
      </w:r>
    </w:p>
    <w:p>
      <w:pPr>
        <w:spacing w:after="140" w:line="276"/>
        <w:jc w:val="left"/>
      </w:pPr>
      <w:r>
        <w:rPr>
          <w:color w:val="222222"/>
          <w:sz w:val="21"/>
          <w:szCs w:val="21"/>
        </w:rPr>
        <w:t xml:space="preserve">Strip away the word "agentic" and look at what a governance model actually is: a </w:t>
      </w:r>
      <w:r>
        <w:rPr>
          <w:b/>
          <w:bCs/>
          <w:color w:val="222222"/>
          <w:sz w:val="21"/>
          <w:szCs w:val="21"/>
        </w:rPr>
        <w:t xml:space="preserve">structured object</w:t>
      </w:r>
      <w:r>
        <w:rPr>
          <w:color w:val="222222"/>
          <w:sz w:val="21"/>
          <w:szCs w:val="21"/>
        </w:rPr>
        <w:t xml:space="preserve"> that walks a fixed path — Government Unit → Office → Core Function → Primary Duty → Transaction → Record → Governance Requirements — and answers a known, finite list of questions (legal authority, purpose, use, minimization, records, classification, retention, decision points, redaction). The path is the same for marriage licenses, business licenses, building permits, and benefit applications. </w:t>
      </w:r>
      <w:r>
        <w:rPr>
          <w:b/>
          <w:bCs/>
          <w:color w:val="222222"/>
          <w:sz w:val="21"/>
          <w:szCs w:val="21"/>
        </w:rPr>
        <w:t xml:space="preserve">The structure is stable; only the content changes.</w:t>
      </w:r>
    </w:p>
    <w:p>
      <w:pPr>
        <w:spacing w:after="140" w:line="276"/>
        <w:jc w:val="left"/>
      </w:pPr>
      <w:r>
        <w:rPr>
          <w:color w:val="222222"/>
          <w:sz w:val="21"/>
          <w:szCs w:val="21"/>
        </w:rPr>
        <w:t xml:space="preserve">That has a profound implication: most of the value comes from (a) a high-quality, citable corpus of statutes, rules, and retention schedules, (b) a rigid schema that forces completeness, and (c) a human-review workflow that produces an accountable signature. </w:t>
      </w:r>
      <w:r>
        <w:rPr>
          <w:b/>
          <w:bCs/>
          <w:color w:val="222222"/>
          <w:sz w:val="21"/>
          <w:szCs w:val="21"/>
        </w:rPr>
        <w:t xml:space="preserve">None of those three things require autonomous agents.</w:t>
      </w:r>
      <w:r>
        <w:rPr>
          <w:color w:val="222222"/>
          <w:sz w:val="21"/>
          <w:szCs w:val="21"/>
        </w:rPr>
        <w:t xml:space="preserve"> They require disciplined information architecture. Autonomy is an optimization you add later, where it pays for itself — chiefly in continuous, large-scale legal-change monitoring.</w:t>
      </w: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80"/>
            </w:pPr>
            <w:r>
              <w:rPr>
                <w:b/>
                <w:bCs/>
                <w:color w:val="2E7D5B"/>
                <w:sz w:val="21"/>
                <w:szCs w:val="21"/>
              </w:rPr>
              <w:t xml:space="preserve">Why this reframe saves the sponsors money and risk</w:t>
            </w:r>
          </w:p>
          <w:p>
            <w:pPr>
              <w:spacing w:after="0" w:line="264"/>
            </w:pPr>
            <w:r>
              <w:rPr>
                <w:color w:val="333333"/>
                <w:sz w:val="20"/>
                <w:szCs w:val="20"/>
              </w:rPr>
              <w:t xml:space="preserve">If governance modeling were truly an open-ended reasoning problem, agents would be the only option. But it is a constrained, schema-driven extraction-and-synthesis problem. A fixed workflow that calls a language model at each well-defined step achieves the same output as ten autonomous agents — minus the token overhead of agents debating, re-planning, and re-querying, and minus the audit complexity of non-deterministic behavior.</w:t>
            </w:r>
          </w:p>
        </w:tc>
      </w:tr>
    </w:tbl>
    <w:p>
      <w:pPr>
        <w:spacing w:after="80"/>
      </w:pPr>
    </w:p>
    <w:p>
      <w:pPr>
        <w:pStyle w:val="Heading2"/>
      </w:pPr>
      <w:r>
        <w:t xml:space="preserve">2.2  The constraints the sponsors actually operate under</w:t>
      </w:r>
    </w:p>
    <w:p>
      <w:pPr>
        <w:spacing w:after="140" w:line="276"/>
        <w:jc w:val="left"/>
      </w:pPr>
      <w:r>
        <w:rPr>
          <w:b w:val="false"/>
          <w:bCs w:val="false"/>
          <w:i w:val="false"/>
          <w:iCs w:val="false"/>
          <w:color w:val="222222"/>
          <w:sz w:val="21"/>
          <w:szCs w:val="21"/>
        </w:rPr>
        <w:t xml:space="preserve">Three realities in the brief should drive the architecture more than the word "agentic" does:</w:t>
      </w:r>
    </w:p>
    <w:p>
      <w:pPr>
        <w:pStyle w:val="ListParagraph"/>
        <w:numPr>
          <w:ilvl w:val="0"/>
          <w:numId w:val="2"/>
        </w:numPr>
        <w:spacing w:after="70" w:line="264"/>
      </w:pPr>
      <w:r>
        <w:rPr>
          <w:b/>
          <w:bCs/>
          <w:color w:val="222222"/>
          <w:sz w:val="21"/>
          <w:szCs w:val="21"/>
        </w:rPr>
        <w:t xml:space="preserve">Frequently strapped for cash. </w:t>
      </w:r>
      <w:r>
        <w:rPr>
          <w:color w:val="222222"/>
          <w:sz w:val="21"/>
          <w:szCs w:val="21"/>
        </w:rPr>
        <w:t xml:space="preserve">A public body cannot absorb an unpredictable, usage-scaled AI bill. Per-model and per-month cost must be knowable and bounded.</w:t>
      </w:r>
    </w:p>
    <w:p>
      <w:pPr>
        <w:pStyle w:val="ListParagraph"/>
        <w:numPr>
          <w:ilvl w:val="0"/>
          <w:numId w:val="2"/>
        </w:numPr>
        <w:spacing w:after="70" w:line="264"/>
      </w:pPr>
      <w:r>
        <w:rPr>
          <w:b/>
          <w:bCs/>
          <w:color w:val="222222"/>
          <w:sz w:val="21"/>
          <w:szCs w:val="21"/>
        </w:rPr>
        <w:t xml:space="preserve">Heavy compliance scrutiny. </w:t>
      </w:r>
      <w:r>
        <w:rPr>
          <w:color w:val="222222"/>
          <w:sz w:val="21"/>
          <w:szCs w:val="21"/>
        </w:rPr>
        <w:t xml:space="preserve">The system itself governs sensitive data rules. It must be auditable, self-hostable, and free of dependence on sources or vendors that could later be deemed non-compliant.</w:t>
      </w:r>
    </w:p>
    <w:p>
      <w:pPr>
        <w:pStyle w:val="ListParagraph"/>
        <w:numPr>
          <w:ilvl w:val="0"/>
          <w:numId w:val="2"/>
        </w:numPr>
        <w:spacing w:after="70" w:line="264"/>
      </w:pPr>
      <w:r>
        <w:rPr>
          <w:b/>
          <w:bCs/>
          <w:color w:val="222222"/>
          <w:sz w:val="21"/>
          <w:szCs w:val="21"/>
        </w:rPr>
        <w:t xml:space="preserve">Heavy public scrutiny. </w:t>
      </w:r>
      <w:r>
        <w:rPr>
          <w:color w:val="222222"/>
          <w:sz w:val="21"/>
          <w:szCs w:val="21"/>
        </w:rPr>
        <w:t xml:space="preserve">"The county let an AI decide what's private" is a headline that ends programs. The architecture must keep humans visibly and accountably in the decision seat.</w:t>
      </w:r>
    </w:p>
    <w:p>
      <w:pPr>
        <w:spacing w:after="140" w:line="276"/>
        <w:jc w:val="left"/>
      </w:pPr>
      <w:r>
        <w:rPr>
          <w:color w:val="222222"/>
          <w:sz w:val="21"/>
          <w:szCs w:val="21"/>
        </w:rPr>
        <w:t xml:space="preserve">A premium, token-hungry, autonomous system as the </w:t>
      </w:r>
      <w:r>
        <w:rPr>
          <w:b/>
          <w:bCs/>
          <w:color w:val="222222"/>
          <w:sz w:val="21"/>
          <w:szCs w:val="21"/>
        </w:rPr>
        <w:t xml:space="preserve">first</w:t>
      </w:r>
      <w:r>
        <w:rPr>
          <w:color w:val="222222"/>
          <w:sz w:val="21"/>
          <w:szCs w:val="21"/>
        </w:rPr>
        <w:t xml:space="preserve"> commitment maximizes exposure on all three fronts. A self-hostable, deterministic, human-supervised system minimizes all three while still demonstrating the vision. That is the case for sequencing.</w:t>
      </w:r>
    </w:p>
    <w:p>
      <w:r>
        <w:br w:type="page"/>
      </w:r>
    </w:p>
    <w:p>
      <w:pPr>
        <w:pStyle w:val="Heading1"/>
      </w:pPr>
      <w:r>
        <w:t xml:space="preserve">3.  The Governance Model as a Data Object</w:t>
      </w:r>
    </w:p>
    <w:p>
      <w:pPr>
        <w:spacing w:after="140" w:line="276"/>
        <w:jc w:val="left"/>
      </w:pPr>
      <w:r>
        <w:rPr>
          <w:color w:val="222222"/>
          <w:sz w:val="21"/>
          <w:szCs w:val="21"/>
        </w:rPr>
        <w:t xml:space="preserve">Both prongs produce the same artifact, so both depend on one shared design decision: </w:t>
      </w:r>
      <w:r>
        <w:rPr>
          <w:b/>
          <w:bCs/>
          <w:color w:val="222222"/>
          <w:sz w:val="21"/>
          <w:szCs w:val="21"/>
        </w:rPr>
        <w:t xml:space="preserve">treat the governance model as a typed, versioned graph — not as a document.</w:t>
      </w:r>
      <w:r>
        <w:rPr>
          <w:color w:val="222222"/>
          <w:sz w:val="21"/>
          <w:szCs w:val="21"/>
        </w:rPr>
        <w:t xml:space="preserve"> The brief warns that focusing solely on document generation is a complete miss. The defense against that is to make the document a </w:t>
      </w:r>
      <w:r>
        <w:rPr>
          <w:b/>
          <w:bCs/>
          <w:color w:val="222222"/>
          <w:sz w:val="21"/>
          <w:szCs w:val="21"/>
        </w:rPr>
        <w:t xml:space="preserve">rendering</w:t>
      </w:r>
      <w:r>
        <w:rPr>
          <w:color w:val="222222"/>
          <w:sz w:val="21"/>
          <w:szCs w:val="21"/>
        </w:rPr>
        <w:t xml:space="preserve"> of structured data, never the source of truth.</w:t>
      </w:r>
    </w:p>
    <w:p>
      <w:pPr>
        <w:pStyle w:val="Heading2"/>
      </w:pPr>
      <w:r>
        <w:t xml:space="preserve">3.1  The canonical schema (shared by both prongs)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660"/>
      </w:tblGrid>
      <w:tr>
        <w:trPr>
          <w:tblHeader/>
        </w:trPr>
        <w:tc>
          <w:tcPr>
            <w:tcW w:type="dxa" w:w="25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Node / Field</w:t>
            </w:r>
          </w:p>
        </w:tc>
        <w:tc>
          <w:tcPr>
            <w:tcW w:type="dxa" w:w="42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What it captures</w:t>
            </w:r>
          </w:p>
        </w:tc>
        <w:tc>
          <w:tcPr>
            <w:tcW w:type="dxa" w:w="26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Governance practice served</w:t>
            </w:r>
          </w:p>
        </w:tc>
      </w:tr>
      <w:tr>
        <w:tc>
          <w:tcPr>
            <w:tcW w:type="dxa" w:w="2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Government Unit → Office</w:t>
            </w:r>
          </w:p>
        </w:tc>
        <w:tc>
          <w:tcPr>
            <w:tcW w:type="dxa" w:w="42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The entity and office (e.g., County Clerk).</w:t>
            </w:r>
          </w:p>
        </w:tc>
        <w:tc>
          <w:tcPr>
            <w:tcW w:type="dxa" w:w="26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Scoping, equal-rights comparison across entities</w:t>
            </w:r>
          </w:p>
        </w:tc>
      </w:tr>
      <w:tr>
        <w:tc>
          <w:tcPr>
            <w:tcW w:type="dxa" w:w="2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Core Function → Primary Duty</w:t>
            </w:r>
          </w:p>
        </w:tc>
        <w:tc>
          <w:tcPr>
            <w:tcW w:type="dxa" w:w="42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The mandate and the duty performed.</w:t>
            </w:r>
          </w:p>
        </w:tc>
        <w:tc>
          <w:tcPr>
            <w:tcW w:type="dxa" w:w="26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Purpose specification</w:t>
            </w:r>
          </w:p>
        </w:tc>
      </w:tr>
      <w:tr>
        <w:tc>
          <w:tcPr>
            <w:tcW w:type="dxa" w:w="2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Transaction</w:t>
            </w:r>
          </w:p>
        </w:tc>
        <w:tc>
          <w:tcPr>
            <w:tcW w:type="dxa" w:w="42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The citizen-facing event (e.g., issue marriage license).</w:t>
            </w:r>
          </w:p>
        </w:tc>
        <w:tc>
          <w:tcPr>
            <w:tcW w:type="dxa" w:w="26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Process mapping</w:t>
            </w:r>
          </w:p>
        </w:tc>
      </w:tr>
      <w:tr>
        <w:tc>
          <w:tcPr>
            <w:tcW w:type="dxa" w:w="2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Personal Data Elements</w:t>
            </w:r>
          </w:p>
        </w:tc>
        <w:tc>
          <w:tcPr>
            <w:tcW w:type="dxa" w:w="42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Each PII field collected, typed and tagged.</w:t>
            </w:r>
          </w:p>
        </w:tc>
        <w:tc>
          <w:tcPr>
            <w:tcW w:type="dxa" w:w="26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Data inventory, minimization</w:t>
            </w:r>
          </w:p>
        </w:tc>
      </w:tr>
      <w:tr>
        <w:tc>
          <w:tcPr>
            <w:tcW w:type="dxa" w:w="2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Use &amp; Purpose</w:t>
            </w:r>
          </w:p>
        </w:tc>
        <w:tc>
          <w:tcPr>
            <w:tcW w:type="dxa" w:w="42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How and why each element is processed.</w:t>
            </w:r>
          </w:p>
        </w:tc>
        <w:tc>
          <w:tcPr>
            <w:tcW w:type="dxa" w:w="26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Purpose limitation, authorized use</w:t>
            </w:r>
          </w:p>
        </w:tc>
      </w:tr>
      <w:tr>
        <w:tc>
          <w:tcPr>
            <w:tcW w:type="dxa" w:w="2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Statutory Authorization</w:t>
            </w:r>
          </w:p>
        </w:tc>
        <w:tc>
          <w:tcPr>
            <w:tcW w:type="dxa" w:w="42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Cited statute/rule/ordinance per element &amp; action.</w:t>
            </w:r>
          </w:p>
        </w:tc>
        <w:tc>
          <w:tcPr>
            <w:tcW w:type="dxa" w:w="26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Legal authority analysis</w:t>
            </w:r>
          </w:p>
        </w:tc>
      </w:tr>
      <w:tr>
        <w:tc>
          <w:tcPr>
            <w:tcW w:type="dxa" w:w="2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Records Generated</w:t>
            </w:r>
          </w:p>
        </w:tc>
        <w:tc>
          <w:tcPr>
            <w:tcW w:type="dxa" w:w="42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Records and derived data the transaction creates.</w:t>
            </w:r>
          </w:p>
        </w:tc>
        <w:tc>
          <w:tcPr>
            <w:tcW w:type="dxa" w:w="26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Records management</w:t>
            </w:r>
          </w:p>
        </w:tc>
      </w:tr>
      <w:tr>
        <w:tc>
          <w:tcPr>
            <w:tcW w:type="dxa" w:w="2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Classification</w:t>
            </w:r>
          </w:p>
        </w:tc>
        <w:tc>
          <w:tcPr>
            <w:tcW w:type="dxa" w:w="42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Public / Private / Protected / Controlled / Exempt.</w:t>
            </w:r>
          </w:p>
        </w:tc>
        <w:tc>
          <w:tcPr>
            <w:tcW w:type="dxa" w:w="26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Classification</w:t>
            </w:r>
          </w:p>
        </w:tc>
      </w:tr>
      <w:tr>
        <w:tc>
          <w:tcPr>
            <w:tcW w:type="dxa" w:w="2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Value &amp; Retention</w:t>
            </w:r>
          </w:p>
        </w:tc>
        <w:tc>
          <w:tcPr>
            <w:tcW w:type="dxa" w:w="42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Retention schedule, trigger, and disposition.</w:t>
            </w:r>
          </w:p>
        </w:tc>
        <w:tc>
          <w:tcPr>
            <w:tcW w:type="dxa" w:w="26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Retention &amp; disposition</w:t>
            </w:r>
          </w:p>
        </w:tc>
      </w:tr>
      <w:tr>
        <w:tc>
          <w:tcPr>
            <w:tcW w:type="dxa" w:w="2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Decision Points</w:t>
            </w:r>
          </w:p>
        </w:tc>
        <w:tc>
          <w:tcPr>
            <w:tcW w:type="dxa" w:w="42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Where eligibility/approval/denial decisions occur.</w:t>
            </w:r>
          </w:p>
        </w:tc>
        <w:tc>
          <w:tcPr>
            <w:tcW w:type="dxa" w:w="26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Automated-decision governance</w:t>
            </w:r>
          </w:p>
        </w:tc>
      </w:tr>
      <w:tr>
        <w:tc>
          <w:tcPr>
            <w:tcW w:type="dxa" w:w="2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Redaction Rules</w:t>
            </w:r>
          </w:p>
        </w:tc>
        <w:tc>
          <w:tcPr>
            <w:tcW w:type="dxa" w:w="42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What must be removed before public release.</w:t>
            </w:r>
          </w:p>
        </w:tc>
        <w:tc>
          <w:tcPr>
            <w:tcW w:type="dxa" w:w="26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Transparency, public records</w:t>
            </w:r>
          </w:p>
        </w:tc>
      </w:tr>
      <w:tr>
        <w:tc>
          <w:tcPr>
            <w:tcW w:type="dxa" w:w="2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Provenance &amp; Version</w:t>
            </w:r>
          </w:p>
        </w:tc>
        <w:tc>
          <w:tcPr>
            <w:tcW w:type="dxa" w:w="42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Source citations, author, reviewer, version, status.</w:t>
            </w:r>
          </w:p>
        </w:tc>
        <w:tc>
          <w:tcPr>
            <w:tcW w:type="dxa" w:w="26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Auditability, lifecycle management</w:t>
            </w:r>
          </w:p>
        </w:tc>
      </w:tr>
    </w:tbl>
    <w:p>
      <w:pPr>
        <w:spacing w:after="120"/>
      </w:pPr>
    </w:p>
    <w:p>
      <w:pPr>
        <w:spacing w:after="140" w:line="276"/>
        <w:jc w:val="left"/>
      </w:pPr>
      <w:r>
        <w:rPr>
          <w:b/>
          <w:bCs/>
          <w:color w:val="222222"/>
          <w:sz w:val="21"/>
          <w:szCs w:val="21"/>
        </w:rPr>
        <w:t xml:space="preserve">Why a graph and not a form: </w:t>
      </w:r>
      <w:r>
        <w:rPr>
          <w:color w:val="222222"/>
          <w:sz w:val="21"/>
          <w:szCs w:val="21"/>
        </w:rPr>
        <w:t xml:space="preserve">storing models as connected nodes lets you answer the bounty's hardest question directly — "is similar information governed differently across entities?" A graph query compares the classification of the same data element (say, date of birth) across every county that collects it and surfaces inconsistency automatically. That single capability is what advances </w:t>
      </w:r>
      <w:r>
        <w:rPr>
          <w:b/>
          <w:bCs/>
          <w:color w:val="222222"/>
          <w:sz w:val="21"/>
          <w:szCs w:val="21"/>
        </w:rPr>
        <w:t xml:space="preserve">equal data rights under the law</w:t>
      </w:r>
      <w:r>
        <w:rPr>
          <w:color w:val="222222"/>
          <w:sz w:val="21"/>
          <w:szCs w:val="21"/>
        </w:rPr>
        <w:t xml:space="preserve">, and it works identically in both prongs.</w:t>
      </w:r>
    </w:p>
    <w:tbl>
      <w:tblPr>
        <w:tblW w:type="dxa" w:w="9360"/>
        <w:tblBorders>
          <w:top w:val="single" w:color="EAF0FA" w:sz="1"/>
          <w:left w:val="single" w:color="1F3864" w:sz="18"/>
          <w:bottom w:val="single" w:color="EAF0FA" w:sz="1"/>
          <w:right w:val="single" w:color="EAF0FA" w:sz="1"/>
          <w:insideH w:val="single" w:color="auto" w:sz="4"/>
          <w:insideV w:val="single" w:color="auto" w:sz="4"/>
        </w:tblBorders>
      </w:tblPr>
      <w:tblGrid>
        <w:gridCol w:w="9360"/>
      </w:tblGrid>
      <w:tr>
        <w:tc>
          <w:tcPr>
            <w:shd w:fill="EAF0FA" w:val="clear"/>
            <w:tcMar>
              <w:top w:type="dxa" w:w="140"/>
              <w:left w:type="dxa" w:w="200"/>
              <w:bottom w:type="dxa" w:w="140"/>
              <w:right w:type="dxa" w:w="200"/>
            </w:tcMar>
          </w:tcPr>
          <w:p>
            <w:pPr>
              <w:spacing w:after="80"/>
            </w:pPr>
            <w:r>
              <w:rPr>
                <w:b/>
                <w:bCs/>
                <w:color w:val="1F3864"/>
                <w:sz w:val="21"/>
                <w:szCs w:val="21"/>
              </w:rPr>
              <w:t xml:space="preserve">Design rule that prevents the "complete miss"</w:t>
            </w:r>
          </w:p>
          <w:p>
            <w:pPr>
              <w:spacing w:after="0" w:line="264"/>
            </w:pPr>
            <w:r>
              <w:rPr>
                <w:color w:val="333333"/>
                <w:sz w:val="20"/>
                <w:szCs w:val="20"/>
              </w:rPr>
              <w:t xml:space="preserve">Every field in every model carries a citation to its source authority and a human-approver stamp. The Word/PDF/HTML model that officials read is generated from this structured record on demand. The data is the asset; the document is a view. This is the single most important architectural decision in the whole program, and it is identical for RAG and for agents.</w:t>
            </w:r>
          </w:p>
        </w:tc>
      </w:tr>
    </w:tbl>
    <w:p>
      <w:r>
        <w:br w:type="page"/>
      </w:r>
    </w:p>
    <w:p>
      <w:pPr>
        <w:pStyle w:val="Heading1"/>
      </w:pPr>
      <w:r>
        <w:t xml:space="preserve">4.  Prong 1 — RAG Governance Assistant (Recommended Today)</w:t>
      </w:r>
    </w:p>
    <w:p>
      <w:pPr>
        <w:spacing w:after="140" w:line="276"/>
        <w:jc w:val="left"/>
      </w:pPr>
      <w:r>
        <w:rPr>
          <w:b/>
          <w:bCs/>
          <w:color w:val="222222"/>
          <w:sz w:val="21"/>
          <w:szCs w:val="21"/>
        </w:rPr>
        <w:t xml:space="preserve">The idea: </w:t>
      </w:r>
      <w:r>
        <w:rPr>
          <w:color w:val="222222"/>
          <w:sz w:val="21"/>
          <w:szCs w:val="21"/>
        </w:rPr>
        <w:t xml:space="preserve">a Retrieval-Augmented Generation system runs a fixed, transparent workflow. For each governance question, it retrieves the relevant authorities from a curated corpus, asks a language model to draft a cited answer, and routes the draft to a human officer for approval. It looks and feels like the agent demo — a dashboard shows each governance function lighting up with its sources and recommendation — but the orchestration is </w:t>
      </w:r>
      <w:r>
        <w:rPr>
          <w:b/>
          <w:bCs/>
          <w:color w:val="222222"/>
          <w:sz w:val="21"/>
          <w:szCs w:val="21"/>
        </w:rPr>
        <w:t xml:space="preserve">deterministic code, not autonomous agents.</w:t>
      </w:r>
    </w:p>
    <w:p>
      <w:pPr>
        <w:pStyle w:val="Heading2"/>
      </w:pPr>
      <w:r>
        <w:t xml:space="preserve">4.1  Reference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Layer</w:t>
            </w:r>
          </w:p>
        </w:tc>
        <w:tc>
          <w:tcPr>
            <w:tcW w:type="dxa" w:w="35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Components</w:t>
            </w:r>
          </w:p>
        </w:tc>
        <w:tc>
          <w:tcPr>
            <w:tcW w:type="dxa" w:w="41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Recommended (compliance-first) technology</w:t>
            </w:r>
          </w:p>
        </w:tc>
      </w:tr>
      <w:tr>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Corpus &amp; ingestion</w:t>
            </w:r>
          </w:p>
        </w:tc>
        <w:tc>
          <w:tcPr>
            <w:tcW w:type="dxa" w:w="3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Statutes, admin rules, ordinances, GRS retention schedules, model definitions/rules.</w:t>
            </w:r>
          </w:p>
        </w:tc>
        <w:tc>
          <w:tcPr>
            <w:tcW w:type="dxa" w:w="41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Document loaders + scheduled crawler; normalized to structured text with metadata (jurisdiction, effective date, citation).</w:t>
            </w:r>
          </w:p>
        </w:tc>
      </w:tr>
      <w:tr>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Knowledge store</w:t>
            </w:r>
          </w:p>
        </w:tc>
        <w:tc>
          <w:tcPr>
            <w:tcW w:type="dxa" w:w="3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Vector index for semantic search + relational/graph store for the model schema.</w:t>
            </w:r>
          </w:p>
        </w:tc>
        <w:tc>
          <w:tcPr>
            <w:tcW w:type="dxa" w:w="41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PostgreSQL + pgvector (self-hosted) or Qdrant; the same Postgres holds the governance graph.</w:t>
            </w:r>
          </w:p>
        </w:tc>
      </w:tr>
      <w:tr>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Embeddings</w:t>
            </w:r>
          </w:p>
        </w:tc>
        <w:tc>
          <w:tcPr>
            <w:tcW w:type="dxa" w:w="3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Turns the corpus into searchable vectors.</w:t>
            </w:r>
          </w:p>
        </w:tc>
        <w:tc>
          <w:tcPr>
            <w:tcW w:type="dxa" w:w="41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Self-hostable open embedding model (e.g., BGE / E5 class) — no data leaves the boundary.</w:t>
            </w:r>
          </w:p>
        </w:tc>
      </w:tr>
      <w:tr>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Generation</w:t>
            </w:r>
          </w:p>
        </w:tc>
        <w:tc>
          <w:tcPr>
            <w:tcW w:type="dxa" w:w="3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Drafts each governance field with citations.</w:t>
            </w:r>
          </w:p>
        </w:tc>
        <w:tc>
          <w:tcPr>
            <w:tcW w:type="dxa" w:w="41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Open-weight LLM (Llama / Mistral class) on GovCloud GPU, OR a FedRAMP-authorized API for lower ops burden.</w:t>
            </w:r>
          </w:p>
        </w:tc>
      </w:tr>
      <w:tr>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Workflow engine</w:t>
            </w:r>
          </w:p>
        </w:tc>
        <w:tc>
          <w:tcPr>
            <w:tcW w:type="dxa" w:w="3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Fixed sequence over the 12 governance functions; assembles the model.</w:t>
            </w:r>
          </w:p>
        </w:tc>
        <w:tc>
          <w:tcPr>
            <w:tcW w:type="dxa" w:w="41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 simple, auditable pipeline (e.g., LangGraph as a state machine, or plain orchestrated services) — deterministic, not free-roaming.</w:t>
            </w:r>
          </w:p>
        </w:tc>
      </w:tr>
      <w:tr>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Human-in-the-loop</w:t>
            </w:r>
          </w:p>
        </w:tc>
        <w:tc>
          <w:tcPr>
            <w:tcW w:type="dxa" w:w="3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Review queue, edit, approve/reject, e-signature, comments.</w:t>
            </w:r>
          </w:p>
        </w:tc>
        <w:tc>
          <w:tcPr>
            <w:tcW w:type="dxa" w:w="41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Web app with role-based access (records officer, privacy officer, archivist).</w:t>
            </w:r>
          </w:p>
        </w:tc>
      </w:tr>
      <w:tr>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Versioning &amp; audit</w:t>
            </w:r>
          </w:p>
        </w:tc>
        <w:tc>
          <w:tcPr>
            <w:tcW w:type="dxa" w:w="35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Every field's source, author, reviewer, version, diff.</w:t>
            </w:r>
          </w:p>
        </w:tc>
        <w:tc>
          <w:tcPr>
            <w:tcW w:type="dxa" w:w="41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Append-only audit log; Git-style model diffs; published versions immutable.</w:t>
            </w:r>
          </w:p>
        </w:tc>
      </w:tr>
      <w:tr>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Presentation</w:t>
            </w:r>
          </w:p>
        </w:tc>
        <w:tc>
          <w:tcPr>
            <w:tcW w:type="dxa" w:w="35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Marriage-license-style visual model + dashboard.</w:t>
            </w:r>
          </w:p>
        </w:tc>
        <w:tc>
          <w:tcPr>
            <w:tcW w:type="dxa" w:w="41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Web UI that renders the graph; one-click export to the official document format.</w:t>
            </w:r>
          </w:p>
        </w:tc>
      </w:tr>
    </w:tbl>
    <w:p>
      <w:pPr>
        <w:spacing w:after="120"/>
      </w:pPr>
    </w:p>
    <w:p>
      <w:pPr>
        <w:pStyle w:val="Heading2"/>
      </w:pPr>
      <w:r>
        <w:t xml:space="preserve">4.2  How it satisfies the brief without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Brief requirement</w:t>
            </w:r>
          </w:p>
        </w:tc>
        <w:tc>
          <w:tcPr>
            <w:tcW w:type="dxa" w:w="62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How Prong 1 meets it</w:t>
            </w:r>
          </w:p>
        </w:tc>
      </w:tr>
      <w:tr>
        <w:tc>
          <w:tcPr>
            <w:tcW w:type="dxa" w:w="31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Specialized functions with distinct expertise</w:t>
            </w:r>
          </w:p>
        </w:tc>
        <w:tc>
          <w:tcPr>
            <w:tcW w:type="dxa" w:w="62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Each governance function (legal, classification, retention, redaction…) is a dedicated retrieval profile + prompt template with its own curated source set. Visually identical to 'agents' on the dashboard.</w:t>
            </w:r>
          </w:p>
        </w:tc>
      </w:tr>
      <w:tr>
        <w:tc>
          <w:tcPr>
            <w:tcW w:type="dxa" w:w="31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Orchestration</w:t>
            </w:r>
          </w:p>
        </w:tc>
        <w:tc>
          <w:tcPr>
            <w:tcW w:type="dxa" w:w="62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A transparent workflow engine sequences the functions and assembles the model — orchestration the audience can actually follow step by step.</w:t>
            </w:r>
          </w:p>
        </w:tc>
      </w:tr>
      <w:tr>
        <w:tc>
          <w:tcPr>
            <w:tcW w:type="dxa" w:w="31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Human oversight</w:t>
            </w:r>
          </w:p>
        </w:tc>
        <w:tc>
          <w:tcPr>
            <w:tcW w:type="dxa" w:w="62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Built in as the core mechanic: nothing publishes without an officer's approval and signature.</w:t>
            </w:r>
          </w:p>
        </w:tc>
      </w:tr>
      <w:tr>
        <w:tc>
          <w:tcPr>
            <w:tcW w:type="dxa" w:w="31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Model maintenance &amp; legal-change management</w:t>
            </w:r>
          </w:p>
        </w:tc>
        <w:tc>
          <w:tcPr>
            <w:tcW w:type="dxa" w:w="62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A scheduled re-ingest detects changed statutes/schedules and flags affected models for human re-review (assisted, not autonomous).</w:t>
            </w:r>
          </w:p>
        </w:tc>
      </w:tr>
      <w:tr>
        <w:tc>
          <w:tcPr>
            <w:tcW w:type="dxa" w:w="31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Scalability</w:t>
            </w:r>
          </w:p>
        </w:tc>
        <w:tc>
          <w:tcPr>
            <w:tcW w:type="dxa" w:w="62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The same workflow + schema runs for any office or transaction; new entities are configuration, not new code.</w:t>
            </w:r>
          </w:p>
        </w:tc>
      </w:tr>
      <w:tr>
        <w:tc>
          <w:tcPr>
            <w:tcW w:type="dxa" w:w="31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Equal data rights</w:t>
            </w:r>
          </w:p>
        </w:tc>
        <w:tc>
          <w:tcPr>
            <w:tcW w:type="dxa" w:w="62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Cross-entity graph queries surface where the same data element is classified or retained inconsistently.</w:t>
            </w:r>
          </w:p>
        </w:tc>
      </w:tr>
      <w:tr>
        <w:tc>
          <w:tcPr>
            <w:tcW w:type="dxa" w:w="31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Understandable to non-technical audiences</w:t>
            </w:r>
          </w:p>
        </w:tc>
        <w:tc>
          <w:tcPr>
            <w:tcW w:type="dxa" w:w="62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Deterministic, cited, step-by-step — the easiest possible story to tell legislators and the public.</w:t>
            </w:r>
          </w:p>
        </w:tc>
      </w:tr>
    </w:tbl>
    <w:p>
      <w:pPr>
        <w:spacing w:after="120"/>
      </w:pPr>
    </w:p>
    <w:p>
      <w:pPr>
        <w:pStyle w:val="Heading2"/>
      </w:pPr>
      <w:r>
        <w:t xml:space="preserve">4.3  Cost — build and maintain</w:t>
      </w:r>
    </w:p>
    <w:p>
      <w:pPr>
        <w:spacing w:after="140" w:line="276"/>
        <w:jc w:val="left"/>
      </w:pPr>
      <w:r>
        <w:rPr>
          <w:b/>
          <w:bCs/>
          <w:color w:val="222222"/>
          <w:sz w:val="21"/>
          <w:szCs w:val="21"/>
        </w:rPr>
        <w:t xml:space="preserve">Assumptions: </w:t>
      </w:r>
      <w:r>
        <w:rPr>
          <w:color w:val="222222"/>
          <w:sz w:val="21"/>
          <w:szCs w:val="21"/>
        </w:rPr>
        <w:t xml:space="preserve">a small team (1 senior engineer, 1 mid engineer, a part-time policy/records SME, fractional design); self-hosted open models on government cloud to avoid per-token billing surprises; one complete governance category (e.g., County Clerk transactions)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360"/>
      </w:tblGrid>
      <w:tr>
        <w:trPr>
          <w:tblHeader/>
        </w:trPr>
        <w:tc>
          <w:tcPr>
            <w:tcW w:type="dxa" w:w="36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One-time build</w:t>
            </w:r>
          </w:p>
        </w:tc>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Low</w:t>
            </w:r>
          </w:p>
        </w:tc>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High</w:t>
            </w:r>
          </w:p>
        </w:tc>
        <w:tc>
          <w:tcPr>
            <w:tcW w:type="dxa" w:w="23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Notes</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Engineering (RAG + workflow + UI)</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$70K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$130K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~8–12 weeks, 2 engineers</w:t>
            </w:r>
          </w:p>
        </w:tc>
      </w:tr>
      <w:tr>
        <w:tc>
          <w:tcPr>
            <w:tcW w:type="dxa" w:w="36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Corpus curation &amp; schema (with SME)</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$15K</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$35K</w:t>
            </w:r>
          </w:p>
        </w:tc>
        <w:tc>
          <w:tcPr>
            <w:tcW w:type="dxa" w:w="23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The real differentiator; reused by Prong 2</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Design &amp; visualization</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$10K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$20K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Dashboard + model rendering</w:t>
            </w:r>
          </w:p>
        </w:tc>
      </w:tr>
      <w:tr>
        <w:tc>
          <w:tcPr>
            <w:tcW w:type="dxa" w:w="36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sz w:val="18"/>
                <w:szCs w:val="18"/>
              </w:rPr>
              <w:t xml:space="preserve">Total one-time</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2E7D5B"/>
                <w:sz w:val="18"/>
                <w:szCs w:val="18"/>
              </w:rPr>
              <w:t xml:space="preserve">$95K</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2E7D5B"/>
                <w:sz w:val="18"/>
                <w:szCs w:val="18"/>
              </w:rPr>
              <w:t xml:space="preserve">$185K</w:t>
            </w:r>
          </w:p>
        </w:tc>
        <w:tc>
          <w:tcPr>
            <w:tcW w:type="dxa" w:w="23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360"/>
      </w:tblGrid>
      <w:tr>
        <w:trPr>
          <w:tblHeader/>
        </w:trPr>
        <w:tc>
          <w:tcPr>
            <w:tcW w:type="dxa" w:w="36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Annual run (ex. reviewer labor)</w:t>
            </w:r>
          </w:p>
        </w:tc>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Low</w:t>
            </w:r>
          </w:p>
        </w:tc>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High</w:t>
            </w:r>
          </w:p>
        </w:tc>
        <w:tc>
          <w:tcPr>
            <w:tcW w:type="dxa" w:w="23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Notes</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Infrastructure (Postgres/pgvector, app, GPU/inference)</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$18K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$42K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Self-hosted; fixed, predictable</w:t>
            </w:r>
          </w:p>
        </w:tc>
      </w:tr>
      <w:tr>
        <w:tc>
          <w:tcPr>
            <w:tcW w:type="dxa" w:w="36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LLM generation</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$3K</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$12K</w:t>
            </w:r>
          </w:p>
        </w:tc>
        <w:tc>
          <w:tcPr>
            <w:tcW w:type="dxa" w:w="23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Bounded: drafting is on-demand, not continuous</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Maintenance engineering (fractional)</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$20K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$35K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Corpus refresh, model tuning, fixes</w:t>
            </w:r>
          </w:p>
        </w:tc>
      </w:tr>
      <w:tr>
        <w:tc>
          <w:tcPr>
            <w:tcW w:type="dxa" w:w="36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Monitoring &amp; re-ingest pipeline</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$4K</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$6K</w:t>
            </w:r>
          </w:p>
        </w:tc>
        <w:tc>
          <w:tcPr>
            <w:tcW w:type="dxa" w:w="23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Scheduled legal-change detection</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sz w:val="18"/>
                <w:szCs w:val="18"/>
              </w:rPr>
              <w:t xml:space="preserve">Total annual</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2E7D5B"/>
                <w:sz w:val="18"/>
                <w:szCs w:val="18"/>
              </w:rPr>
              <w:t xml:space="preserve">$45K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2E7D5B"/>
                <w:sz w:val="18"/>
                <w:szCs w:val="18"/>
              </w:rPr>
              <w:t xml:space="preserve">$95K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Knowable and bounded</w:t>
            </w:r>
          </w:p>
        </w:tc>
      </w:tr>
    </w:tbl>
    <w:p>
      <w:pPr>
        <w:spacing w:after="100"/>
      </w:pP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80"/>
            </w:pPr>
            <w:r>
              <w:rPr>
                <w:b/>
                <w:bCs/>
                <w:color w:val="2E7D5B"/>
                <w:sz w:val="21"/>
                <w:szCs w:val="21"/>
              </w:rPr>
              <w:t xml:space="preserve">The reviewer-labor truth (applies to BOTH prongs)</w:t>
            </w:r>
          </w:p>
          <w:p>
            <w:pPr>
              <w:spacing w:after="0" w:line="264"/>
            </w:pPr>
            <w:r>
              <w:rPr>
                <w:color w:val="333333"/>
                <w:sz w:val="20"/>
                <w:szCs w:val="20"/>
              </w:rPr>
              <w:t xml:space="preserve">Human review by records and privacy officers is the dominant real cost of governance modeling — and it does not disappear in either prong, because accountability cannot be automated. The honest comparison between RAG and agents is therefore about the TECHNOLOGY cost and the RISK, not about whether humans stay in the loop. They do, in both.</w:t>
            </w:r>
          </w:p>
        </w:tc>
      </w:tr>
    </w:tbl>
    <w:p>
      <w:r>
        <w:br w:type="page"/>
      </w:r>
    </w:p>
    <w:p>
      <w:pPr>
        <w:pStyle w:val="Heading1"/>
      </w:pPr>
      <w:r>
        <w:t xml:space="preserve">5.  Prong 2 — Agentic AI Orchestration (Costed Future Milestone)</w:t>
      </w:r>
    </w:p>
    <w:p>
      <w:pPr>
        <w:spacing w:after="140" w:line="276"/>
        <w:jc w:val="left"/>
      </w:pPr>
      <w:r>
        <w:rPr>
          <w:color w:val="222222"/>
          <w:sz w:val="21"/>
          <w:szCs w:val="21"/>
        </w:rPr>
        <w:t xml:space="preserve">This is the system the brief paints: a roster of specialized, semi-autonomous agents that not only build models but </w:t>
      </w:r>
      <w:r>
        <w:rPr>
          <w:b/>
          <w:bCs/>
          <w:color w:val="222222"/>
          <w:sz w:val="21"/>
          <w:szCs w:val="21"/>
        </w:rPr>
        <w:t xml:space="preserve">continuously watch the legal and operational landscape</w:t>
      </w:r>
      <w:r>
        <w:rPr>
          <w:color w:val="222222"/>
          <w:sz w:val="21"/>
          <w:szCs w:val="21"/>
        </w:rPr>
        <w:t xml:space="preserve"> and propose updates without being told to. It is a genuinely valuable end-state. The architecture below is real and buildable — the section is honest about why it should be earned, not bought up front.</w:t>
      </w:r>
    </w:p>
    <w:p>
      <w:pPr>
        <w:pStyle w:val="Heading2"/>
      </w:pPr>
      <w:r>
        <w:t xml:space="preserve">5.1  Reference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Layer</w:t>
            </w:r>
          </w:p>
        </w:tc>
        <w:tc>
          <w:tcPr>
            <w:tcW w:type="dxa" w:w="3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Role</w:t>
            </w:r>
          </w:p>
        </w:tc>
        <w:tc>
          <w:tcPr>
            <w:tcW w:type="dxa" w:w="37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Technology</w:t>
            </w:r>
          </w:p>
        </w:tc>
      </w:tr>
      <w:tr>
        <w:tc>
          <w:tcPr>
            <w:tcW w:type="dxa" w:w="19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Orchestrator</w:t>
            </w:r>
          </w:p>
        </w:tc>
        <w:tc>
          <w:tcPr>
            <w:tcW w:type="dxa" w:w="3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Plans work, dispatches agents, resolves conflicts, manages state.</w:t>
            </w:r>
          </w:p>
        </w:tc>
        <w:tc>
          <w:tcPr>
            <w:tcW w:type="dxa" w:w="37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Multi-agent framework (LangGraph / CrewAI / Autogen-class) with a supervisor pattern.</w:t>
            </w:r>
          </w:p>
        </w:tc>
      </w:tr>
      <w:tr>
        <w:tc>
          <w:tcPr>
            <w:tcW w:type="dxa" w:w="19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Specialist agents</w:t>
            </w:r>
          </w:p>
        </w:tc>
        <w:tc>
          <w:tcPr>
            <w:tcW w:type="dxa" w:w="3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Legal Authority, Purpose, Use, Minimization, Records, Classification, Retention, Decision-Point, Redaction, QA — each with its own tools and sources.</w:t>
            </w:r>
          </w:p>
        </w:tc>
        <w:tc>
          <w:tcPr>
            <w:tcW w:type="dxa" w:w="37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LLM + tool-use; each agent has scoped retrieval, validators, and a confidence score.</w:t>
            </w:r>
          </w:p>
        </w:tc>
      </w:tr>
      <w:tr>
        <w:tc>
          <w:tcPr>
            <w:tcW w:type="dxa" w:w="19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Shared knowledge fabric</w:t>
            </w:r>
          </w:p>
        </w:tc>
        <w:tc>
          <w:tcPr>
            <w:tcW w:type="dxa" w:w="3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The same corpus, vector store, and governance graph from Prong 1.</w:t>
            </w:r>
          </w:p>
        </w:tc>
        <w:tc>
          <w:tcPr>
            <w:tcW w:type="dxa" w:w="37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Reused wholesale — this is why Prong 1 is the foundation, not throwaway.</w:t>
            </w:r>
          </w:p>
        </w:tc>
      </w:tr>
      <w:tr>
        <w:tc>
          <w:tcPr>
            <w:tcW w:type="dxa" w:w="19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Monitoring agents</w:t>
            </w:r>
          </w:p>
        </w:tc>
        <w:tc>
          <w:tcPr>
            <w:tcW w:type="dxa" w:w="3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Continuously watch legislative feeds, rule dockets, and schedule changes; trigger model re-evaluation.</w:t>
            </w:r>
          </w:p>
        </w:tc>
        <w:tc>
          <w:tcPr>
            <w:tcW w:type="dxa" w:w="37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Event-driven workers + change-detection; this is the capability that justifies agents.</w:t>
            </w:r>
          </w:p>
        </w:tc>
      </w:tr>
      <w:tr>
        <w:tc>
          <w:tcPr>
            <w:tcW w:type="dxa" w:w="19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Human governance console</w:t>
            </w:r>
          </w:p>
        </w:tc>
        <w:tc>
          <w:tcPr>
            <w:tcW w:type="dxa" w:w="3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Approve agent proposals, adjudicate conflicts, manage versions.</w:t>
            </w:r>
          </w:p>
        </w:tc>
        <w:tc>
          <w:tcPr>
            <w:tcW w:type="dxa" w:w="37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Expanded review app with proposal queues and diff review.</w:t>
            </w:r>
          </w:p>
        </w:tc>
      </w:tr>
      <w:tr>
        <w:tc>
          <w:tcPr>
            <w:tcW w:type="dxa" w:w="19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Guardrails &amp; evaluation</w:t>
            </w:r>
          </w:p>
        </w:tc>
        <w:tc>
          <w:tcPr>
            <w:tcW w:type="dxa" w:w="3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Confidence thresholds, citation enforcement, hallucination checks, eval harness.</w:t>
            </w:r>
          </w:p>
        </w:tc>
        <w:tc>
          <w:tcPr>
            <w:tcW w:type="dxa" w:w="37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Automated evals + mandatory human gates on any classification/legal output.</w:t>
            </w:r>
          </w:p>
        </w:tc>
      </w:tr>
    </w:tbl>
    <w:p>
      <w:pPr>
        <w:spacing w:after="120"/>
      </w:pPr>
    </w:p>
    <w:p>
      <w:pPr>
        <w:pStyle w:val="Heading2"/>
      </w:pPr>
      <w:r>
        <w:t xml:space="preserve">5.2  What agents add that RAG does not</w:t>
      </w:r>
    </w:p>
    <w:p>
      <w:pPr>
        <w:pStyle w:val="ListParagraph"/>
        <w:numPr>
          <w:ilvl w:val="0"/>
          <w:numId w:val="2"/>
        </w:numPr>
        <w:spacing w:after="70" w:line="264"/>
      </w:pPr>
      <w:r>
        <w:rPr>
          <w:b/>
          <w:bCs/>
          <w:color w:val="222222"/>
          <w:sz w:val="21"/>
          <w:szCs w:val="21"/>
        </w:rPr>
        <w:t xml:space="preserve">Continuous, unsupervised monitoring at scale. </w:t>
      </w:r>
      <w:r>
        <w:rPr>
          <w:color w:val="222222"/>
          <w:sz w:val="21"/>
          <w:szCs w:val="21"/>
        </w:rPr>
        <w:t xml:space="preserve">Agents can watch thousands of legal sources and proactively flag the handful of models affected by a new bill — without a human scheduling the check. This is the single strongest reason to eventually adopt agents.</w:t>
      </w:r>
    </w:p>
    <w:p>
      <w:pPr>
        <w:pStyle w:val="ListParagraph"/>
        <w:numPr>
          <w:ilvl w:val="0"/>
          <w:numId w:val="2"/>
        </w:numPr>
        <w:spacing w:after="70" w:line="264"/>
      </w:pPr>
      <w:r>
        <w:rPr>
          <w:b/>
          <w:bCs/>
          <w:color w:val="222222"/>
          <w:sz w:val="21"/>
          <w:szCs w:val="21"/>
        </w:rPr>
        <w:t xml:space="preserve">Cross-functional negotiation. </w:t>
      </w:r>
      <w:r>
        <w:rPr>
          <w:color w:val="222222"/>
          <w:sz w:val="21"/>
          <w:szCs w:val="21"/>
        </w:rPr>
        <w:t xml:space="preserve">When the Classification and Redaction findings conflict, agents can reconcile and escalate only the genuine conflicts, reducing reviewer load on mature models.</w:t>
      </w:r>
    </w:p>
    <w:p>
      <w:pPr>
        <w:pStyle w:val="ListParagraph"/>
        <w:numPr>
          <w:ilvl w:val="0"/>
          <w:numId w:val="2"/>
        </w:numPr>
        <w:spacing w:after="70" w:line="264"/>
      </w:pPr>
      <w:r>
        <w:rPr>
          <w:b/>
          <w:bCs/>
          <w:color w:val="222222"/>
          <w:sz w:val="21"/>
          <w:szCs w:val="21"/>
        </w:rPr>
        <w:t xml:space="preserve">Scale economics over time. </w:t>
      </w:r>
      <w:r>
        <w:rPr>
          <w:color w:val="222222"/>
          <w:sz w:val="21"/>
          <w:szCs w:val="21"/>
        </w:rPr>
        <w:t xml:space="preserve">Across tens of thousands of transactions statewide, autonomous maintenance can eventually cost less per model than coordinating human-triggered refreshes — but only after volume is high.</w:t>
      </w:r>
    </w:p>
    <w:p>
      <w:pPr>
        <w:pStyle w:val="Heading2"/>
      </w:pPr>
      <w:r>
        <w:t xml:space="preserve">5.3  Cost — build and maintain (the harder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360"/>
      </w:tblGrid>
      <w:tr>
        <w:trPr>
          <w:tblHeader/>
        </w:trPr>
        <w:tc>
          <w:tcPr>
            <w:tcW w:type="dxa" w:w="36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One-time build</w:t>
            </w:r>
          </w:p>
        </w:tc>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Low</w:t>
            </w:r>
          </w:p>
        </w:tc>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High</w:t>
            </w:r>
          </w:p>
        </w:tc>
        <w:tc>
          <w:tcPr>
            <w:tcW w:type="dxa" w:w="23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Notes</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Multi-agent orchestration engineering</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$180K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$340K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6–10 months, larger senior team</w:t>
            </w:r>
          </w:p>
        </w:tc>
      </w:tr>
      <w:tr>
        <w:tc>
          <w:tcPr>
            <w:tcW w:type="dxa" w:w="36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Monitoring &amp; legal-change pipelines</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$60K</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$120K</w:t>
            </w:r>
          </w:p>
        </w:tc>
        <w:tc>
          <w:tcPr>
            <w:tcW w:type="dxa" w:w="23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Continuous feeds, change detection</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Guardrails, eval harness, red-teaming</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$50K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$110K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Non-negotiable for public-sector autonomy</w:t>
            </w:r>
          </w:p>
        </w:tc>
      </w:tr>
      <w:tr>
        <w:tc>
          <w:tcPr>
            <w:tcW w:type="dxa" w:w="36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Expanded console + integrations</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$40K</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$70K</w:t>
            </w:r>
          </w:p>
        </w:tc>
        <w:tc>
          <w:tcPr>
            <w:tcW w:type="dxa" w:w="23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Proposal queues, conflict adjudication</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sz w:val="18"/>
                <w:szCs w:val="18"/>
              </w:rPr>
              <w:t xml:space="preserve">Total one-time</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9C6A00"/>
                <w:sz w:val="18"/>
                <w:szCs w:val="18"/>
              </w:rPr>
              <w:t xml:space="preserve">$330K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9C6A00"/>
                <w:sz w:val="18"/>
                <w:szCs w:val="18"/>
              </w:rPr>
              <w:t xml:space="preserve">$640K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360"/>
      </w:tblGrid>
      <w:tr>
        <w:trPr>
          <w:tblHeader/>
        </w:trPr>
        <w:tc>
          <w:tcPr>
            <w:tcW w:type="dxa" w:w="36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Annual run (ex. reviewer labor)</w:t>
            </w:r>
          </w:p>
        </w:tc>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Low</w:t>
            </w:r>
          </w:p>
        </w:tc>
        <w:tc>
          <w:tcPr>
            <w:tcW w:type="dxa" w:w="17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High</w:t>
            </w:r>
          </w:p>
        </w:tc>
        <w:tc>
          <w:tcPr>
            <w:tcW w:type="dxa" w:w="236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Notes</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LLM tokens (multi-agent + monitoring)</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$80K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$240K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9E2B25"/>
                <w:sz w:val="18"/>
                <w:szCs w:val="18"/>
              </w:rPr>
              <w:t xml:space="preserve">The volatile line. Agents iterate, re-plan, and re-query; continuous monitoring runs 24/7.</w:t>
            </w:r>
          </w:p>
        </w:tc>
      </w:tr>
      <w:tr>
        <w:tc>
          <w:tcPr>
            <w:tcW w:type="dxa" w:w="36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Infrastructure &amp; MLOps</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$45K</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$95K</w:t>
            </w:r>
          </w:p>
        </w:tc>
        <w:tc>
          <w:tcPr>
            <w:tcW w:type="dxa" w:w="23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More services, more observability</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Dedicated engineering / on-call</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$45K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$80K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Autonomy needs babysitting</w:t>
            </w:r>
          </w:p>
        </w:tc>
      </w:tr>
      <w:tr>
        <w:tc>
          <w:tcPr>
            <w:tcW w:type="dxa" w:w="36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Evals, drift checks, re-tuning</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$10K</w:t>
            </w:r>
          </w:p>
        </w:tc>
        <w:tc>
          <w:tcPr>
            <w:tcW w:type="dxa" w:w="17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$15K</w:t>
            </w:r>
          </w:p>
        </w:tc>
        <w:tc>
          <w:tcPr>
            <w:tcW w:type="dxa" w:w="236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Ongoing model-quality assurance</w:t>
            </w:r>
          </w:p>
        </w:tc>
      </w:tr>
      <w:tr>
        <w:tc>
          <w:tcPr>
            <w:tcW w:type="dxa" w:w="36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sz w:val="18"/>
                <w:szCs w:val="18"/>
              </w:rPr>
              <w:t xml:space="preserve">Total annual</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9C6A00"/>
                <w:sz w:val="18"/>
                <w:szCs w:val="18"/>
              </w:rPr>
              <w:t xml:space="preserve">$180K</w:t>
            </w:r>
          </w:p>
        </w:tc>
        <w:tc>
          <w:tcPr>
            <w:tcW w:type="dxa" w:w="17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9C6A00"/>
                <w:sz w:val="18"/>
                <w:szCs w:val="18"/>
              </w:rPr>
              <w:t xml:space="preserve">$430K</w:t>
            </w:r>
          </w:p>
        </w:tc>
        <w:tc>
          <w:tcPr>
            <w:tcW w:type="dxa" w:w="236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Partly usage-driven → less predictable</w:t>
            </w:r>
          </w:p>
        </w:tc>
      </w:tr>
    </w:tbl>
    <w:p>
      <w:pPr>
        <w:spacing w:after="100"/>
      </w:pPr>
    </w:p>
    <w:tbl>
      <w:tblPr>
        <w:tblW w:type="dxa" w:w="9360"/>
        <w:tblBorders>
          <w:top w:val="single" w:color="FBF0DA" w:sz="1"/>
          <w:left w:val="single" w:color="9C6A00" w:sz="18"/>
          <w:bottom w:val="single" w:color="FBF0DA" w:sz="1"/>
          <w:right w:val="single" w:color="FBF0DA" w:sz="1"/>
          <w:insideH w:val="single" w:color="auto" w:sz="4"/>
          <w:insideV w:val="single" w:color="auto" w:sz="4"/>
        </w:tblBorders>
      </w:tblPr>
      <w:tblGrid>
        <w:gridCol w:w="9360"/>
      </w:tblGrid>
      <w:tr>
        <w:tc>
          <w:tcPr>
            <w:shd w:fill="FBF0DA" w:val="clear"/>
            <w:tcMar>
              <w:top w:type="dxa" w:w="140"/>
              <w:left w:type="dxa" w:w="200"/>
              <w:bottom w:type="dxa" w:w="140"/>
              <w:right w:type="dxa" w:w="200"/>
            </w:tcMar>
          </w:tcPr>
          <w:p>
            <w:pPr>
              <w:spacing w:after="80"/>
            </w:pPr>
            <w:r>
              <w:rPr>
                <w:b/>
                <w:bCs/>
                <w:color w:val="9C6A00"/>
                <w:sz w:val="21"/>
                <w:szCs w:val="21"/>
              </w:rPr>
              <w:t xml:space="preserve">The harder truth, stated plainly</w:t>
            </w:r>
          </w:p>
          <w:p>
            <w:pPr>
              <w:spacing w:after="70" w:line="264"/>
            </w:pPr>
            <w:r>
              <w:rPr>
                <w:b/>
                <w:bCs/>
                <w:color w:val="9C6A00"/>
                <w:sz w:val="20"/>
                <w:szCs w:val="20"/>
              </w:rPr>
              <w:t xml:space="preserve">1.  Tokens are the unpredictable enemy. </w:t>
            </w:r>
            <w:r>
              <w:rPr>
                <w:color w:val="333333"/>
                <w:sz w:val="20"/>
                <w:szCs w:val="20"/>
              </w:rPr>
              <w:t xml:space="preserve">Multi-agent systems consume many times more tokens than a single retrieval pass — agents converse, plan, retry, and run continuously. For a budget-constrained body, a usage-scaled bill that can double in a busy legislative month is a real governance risk in itself.</w:t>
            </w:r>
          </w:p>
          <w:p>
            <w:pPr>
              <w:spacing w:after="70" w:line="264"/>
            </w:pPr>
            <w:r>
              <w:rPr>
                <w:b/>
                <w:bCs/>
                <w:color w:val="9C6A00"/>
                <w:sz w:val="20"/>
                <w:szCs w:val="20"/>
              </w:rPr>
              <w:t xml:space="preserve">2.  Autonomy does not remove humans — it adds operators. </w:t>
            </w:r>
            <w:r>
              <w:rPr>
                <w:color w:val="333333"/>
                <w:sz w:val="20"/>
                <w:szCs w:val="20"/>
              </w:rPr>
              <w:t xml:space="preserve">You still need every officer signature you needed before, PLUS engineers and on-call staff to supervise the agents. Net headcount goes up, not down.</w:t>
            </w:r>
          </w:p>
          <w:p>
            <w:pPr>
              <w:spacing w:after="70" w:line="264"/>
            </w:pPr>
            <w:r>
              <w:rPr>
                <w:b/>
                <w:bCs/>
                <w:color w:val="9C6A00"/>
                <w:sz w:val="20"/>
                <w:szCs w:val="20"/>
              </w:rPr>
              <w:t xml:space="preserve">3.  Vendor and source dependence is a public-trust liability. </w:t>
            </w:r>
            <w:r>
              <w:rPr>
                <w:color w:val="333333"/>
                <w:sz w:val="20"/>
                <w:szCs w:val="20"/>
              </w:rPr>
              <w:t xml:space="preserve">Deep reliance on a commercial frontier API, or on scraped legal sources of uncertain provenance, is exactly the kind of dependency that draws public and legislative backlash for a privacy regulator.</w:t>
            </w:r>
          </w:p>
          <w:p>
            <w:pPr>
              <w:spacing w:after="0" w:line="264"/>
            </w:pPr>
            <w:r>
              <w:rPr>
                <w:b/>
                <w:bCs/>
                <w:color w:val="9C6A00"/>
                <w:sz w:val="20"/>
                <w:szCs w:val="20"/>
              </w:rPr>
              <w:t xml:space="preserve">4.  The audit surface is larger. </w:t>
            </w:r>
            <w:r>
              <w:rPr>
                <w:color w:val="333333"/>
                <w:sz w:val="20"/>
                <w:szCs w:val="20"/>
              </w:rPr>
              <w:t xml:space="preserve">Non-deterministic agent behavior is harder to explain, reproduce, and defend in an open-records or oversight context than a fixed, cited workflow.</w:t>
            </w:r>
          </w:p>
        </w:tc>
      </w:tr>
    </w:tbl>
    <w:p>
      <w:r>
        <w:br w:type="page"/>
      </w:r>
    </w:p>
    <w:p>
      <w:pPr>
        <w:pStyle w:val="Heading1"/>
      </w:pPr>
      <w:r>
        <w:t xml:space="preserve">6.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tblHeader/>
        </w:trPr>
        <w:tc>
          <w:tcPr>
            <w:tcW w:type="dxa" w:w="290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Factor</w:t>
            </w:r>
          </w:p>
        </w:tc>
        <w:tc>
          <w:tcPr>
            <w:tcW w:type="dxa" w:w="323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Prong 1 — RAG Assistant</w:t>
            </w:r>
          </w:p>
        </w:tc>
        <w:tc>
          <w:tcPr>
            <w:tcW w:type="dxa" w:w="3230"/>
            <w:tcBorders>
              <w:top w:val="single" w:color="B7C3D8" w:sz="1"/>
              <w:left w:val="single" w:color="B7C3D8" w:sz="1"/>
              <w:bottom w:val="single" w:color="B7C3D8" w:sz="1"/>
              <w:right w:val="single" w:color="B7C3D8" w:sz="1"/>
            </w:tcBorders>
            <w:shd w:fill="1F3864" w:val="clear"/>
            <w:tcMar>
              <w:top w:type="dxa" w:w="70"/>
              <w:left w:type="dxa" w:w="110"/>
              <w:bottom w:type="dxa" w:w="70"/>
              <w:right w:type="dxa" w:w="110"/>
            </w:tcMar>
          </w:tcPr>
          <w:p>
            <w:r>
              <w:rPr>
                <w:b/>
                <w:bCs/>
                <w:color w:val="FFFFFF"/>
                <w:sz w:val="19"/>
                <w:szCs w:val="19"/>
              </w:rPr>
              <w:t xml:space="preserve">Prong 2 — Agentic Orchestration</w:t>
            </w:r>
          </w:p>
        </w:tc>
      </w:tr>
      <w:tr>
        <w:tc>
          <w:tcPr>
            <w:tcW w:type="dxa" w:w="29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Time to first complete model</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2E7D5B"/>
                <w:sz w:val="18"/>
                <w:szCs w:val="18"/>
              </w:rPr>
              <w:t xml:space="preserve">8–12 weeks</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9C6A00"/>
                <w:sz w:val="18"/>
                <w:szCs w:val="18"/>
              </w:rPr>
              <w:t xml:space="preserve">6–10 months</w:t>
            </w:r>
          </w:p>
        </w:tc>
      </w:tr>
      <w:tr>
        <w:tc>
          <w:tcPr>
            <w:tcW w:type="dxa" w:w="29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One-time build</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2E7D5B"/>
                <w:sz w:val="18"/>
                <w:szCs w:val="18"/>
              </w:rPr>
              <w:t xml:space="preserve">$95K–$185K</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9C6A00"/>
                <w:sz w:val="18"/>
                <w:szCs w:val="18"/>
              </w:rPr>
              <w:t xml:space="preserve">$330K–$640K</w:t>
            </w:r>
          </w:p>
        </w:tc>
      </w:tr>
      <w:tr>
        <w:tc>
          <w:tcPr>
            <w:tcW w:type="dxa" w:w="29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Annual run (ex-labor)</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2E7D5B"/>
                <w:sz w:val="18"/>
                <w:szCs w:val="18"/>
              </w:rPr>
              <w:t xml:space="preserve">$45K–$95K</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9C6A00"/>
                <w:sz w:val="18"/>
                <w:szCs w:val="18"/>
              </w:rPr>
              <w:t xml:space="preserve">$180K–$430K</w:t>
            </w:r>
          </w:p>
        </w:tc>
      </w:tr>
      <w:tr>
        <w:tc>
          <w:tcPr>
            <w:tcW w:type="dxa" w:w="29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Cost predictability</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High — mostly fixed infrastructure</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Lower — usage-driven token spend</w:t>
            </w:r>
          </w:p>
        </w:tc>
      </w:tr>
      <w:tr>
        <w:tc>
          <w:tcPr>
            <w:tcW w:type="dxa" w:w="29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Self-hostable / data residency</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Yes, fully</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Yes, but harder and costlier</w:t>
            </w:r>
          </w:p>
        </w:tc>
      </w:tr>
      <w:tr>
        <w:tc>
          <w:tcPr>
            <w:tcW w:type="dxa" w:w="29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Continuous unsupervised monitoring</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Scheduled / assisted</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b/>
                <w:bCs/>
                <w:color w:val="9C6A00"/>
                <w:sz w:val="18"/>
                <w:szCs w:val="18"/>
              </w:rPr>
              <w:t xml:space="preserve">Native strength</w:t>
            </w:r>
          </w:p>
        </w:tc>
      </w:tr>
      <w:tr>
        <w:tc>
          <w:tcPr>
            <w:tcW w:type="dxa" w:w="29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Auditability &amp; explainability</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2E7D5B"/>
                <w:sz w:val="18"/>
                <w:szCs w:val="18"/>
              </w:rPr>
              <w:t xml:space="preserve">Highest (deterministic, cited)</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Good, but larger surface</w:t>
            </w:r>
          </w:p>
        </w:tc>
      </w:tr>
      <w:tr>
        <w:tc>
          <w:tcPr>
            <w:tcW w:type="dxa" w:w="29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Public-scrutiny risk</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Low</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Elevated — must be managed</w:t>
            </w:r>
          </w:p>
        </w:tc>
      </w:tr>
      <w:tr>
        <w:tc>
          <w:tcPr>
            <w:tcW w:type="dxa" w:w="290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Scale economics at very high volume</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color w:val="2A2A2A"/>
                <w:sz w:val="18"/>
                <w:szCs w:val="18"/>
              </w:rPr>
              <w:t xml:space="preserve">Good</w:t>
            </w:r>
          </w:p>
        </w:tc>
        <w:tc>
          <w:tcPr>
            <w:tcW w:type="dxa" w:w="3230"/>
            <w:tcBorders>
              <w:top w:val="single" w:color="B7C3D8" w:sz="1"/>
              <w:left w:val="single" w:color="B7C3D8" w:sz="1"/>
              <w:bottom w:val="single" w:color="B7C3D8" w:sz="1"/>
              <w:right w:val="single" w:color="B7C3D8" w:sz="1"/>
            </w:tcBorders>
            <w:shd w:fill="FFFFFF" w:val="clear"/>
            <w:tcMar>
              <w:top w:type="dxa" w:w="60"/>
              <w:left w:type="dxa" w:w="110"/>
              <w:bottom w:type="dxa" w:w="60"/>
              <w:right w:type="dxa" w:w="110"/>
            </w:tcMar>
          </w:tcPr>
          <w:p>
            <w:pPr>
              <w:spacing w:line="252"/>
            </w:pPr>
            <w:r>
              <w:rPr>
                <w:b/>
                <w:bCs/>
                <w:color w:val="9C6A00"/>
                <w:sz w:val="18"/>
                <w:szCs w:val="18"/>
              </w:rPr>
              <w:t xml:space="preserve">Better — eventually</w:t>
            </w:r>
          </w:p>
        </w:tc>
      </w:tr>
      <w:tr>
        <w:tc>
          <w:tcPr>
            <w:tcW w:type="dxa" w:w="290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Reuses the other prong's work</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Is the foundation</w:t>
            </w:r>
          </w:p>
        </w:tc>
        <w:tc>
          <w:tcPr>
            <w:tcW w:type="dxa" w:w="3230"/>
            <w:tcBorders>
              <w:top w:val="single" w:color="B7C3D8" w:sz="1"/>
              <w:left w:val="single" w:color="B7C3D8" w:sz="1"/>
              <w:bottom w:val="single" w:color="B7C3D8" w:sz="1"/>
              <w:right w:val="single" w:color="B7C3D8" w:sz="1"/>
            </w:tcBorders>
            <w:shd w:fill="EAF0FA" w:val="clear"/>
            <w:tcMar>
              <w:top w:type="dxa" w:w="60"/>
              <w:left w:type="dxa" w:w="110"/>
              <w:bottom w:type="dxa" w:w="60"/>
              <w:right w:type="dxa" w:w="110"/>
            </w:tcMar>
          </w:tcPr>
          <w:p>
            <w:pPr>
              <w:spacing w:line="252"/>
            </w:pPr>
            <w:r>
              <w:rPr>
                <w:color w:val="2A2A2A"/>
                <w:sz w:val="18"/>
                <w:szCs w:val="18"/>
              </w:rPr>
              <w:t xml:space="preserve">Builds directly on Prong 1</w:t>
            </w:r>
          </w:p>
        </w:tc>
      </w:tr>
    </w:tbl>
    <w:p>
      <w:pPr>
        <w:spacing w:after="120"/>
      </w:pPr>
    </w:p>
    <w:p>
      <w:pPr>
        <w:spacing w:after="140" w:line="276"/>
        <w:jc w:val="left"/>
      </w:pPr>
      <w:r>
        <w:rPr>
          <w:b/>
          <w:bCs/>
          <w:color w:val="222222"/>
          <w:sz w:val="21"/>
          <w:szCs w:val="21"/>
        </w:rPr>
        <w:t xml:space="preserve">Reading the table: </w:t>
      </w:r>
      <w:r>
        <w:rPr>
          <w:color w:val="222222"/>
          <w:sz w:val="21"/>
          <w:szCs w:val="21"/>
        </w:rPr>
        <w:t xml:space="preserve">Prong 2 wins exactly one decisive category — continuous, unsupervised monitoring at very large scale — and it is precisely the capability you only need once you already have many models in production. Until then, Prong 1 dominates on cost, speed, predictability, and defensibility.</w:t>
      </w:r>
    </w:p>
    <w:p>
      <w:r>
        <w:br w:type="page"/>
      </w:r>
    </w:p>
    <w:p>
      <w:pPr>
        <w:pStyle w:val="Heading1"/>
      </w:pPr>
      <w:r>
        <w:t xml:space="preserve">7.  The Migration Path: Earn the Upgrade</w:t>
      </w:r>
    </w:p>
    <w:p>
      <w:pPr>
        <w:spacing w:after="140" w:line="276"/>
        <w:jc w:val="left"/>
      </w:pPr>
      <w:r>
        <w:rPr>
          <w:color w:val="222222"/>
          <w:sz w:val="21"/>
          <w:szCs w:val="21"/>
        </w:rPr>
        <w:t xml:space="preserve">The recommendation is not "RAG instead of agents." It is "RAG first, agents when specific, measurable conditions are met." Frame the upgrade as a milestone the program </w:t>
      </w:r>
      <w:r>
        <w:rPr>
          <w:b/>
          <w:bCs/>
          <w:color w:val="222222"/>
          <w:sz w:val="21"/>
          <w:szCs w:val="21"/>
        </w:rPr>
        <w:t xml:space="preserve">graduates into</w:t>
      </w:r>
      <w:r>
        <w:rPr>
          <w:color w:val="222222"/>
          <w:sz w:val="21"/>
          <w:szCs w:val="21"/>
        </w:rPr>
        <w:t xml:space="preserve"> once it has proven value and built the assets that make agents safe and affordable.</w:t>
      </w:r>
    </w:p>
    <w:p>
      <w:pPr>
        <w:pStyle w:val="Heading2"/>
      </w:pPr>
      <w:r>
        <w:t xml:space="preserve">7.1  Promotion gates — adopt agents only when these are true</w:t>
      </w:r>
    </w:p>
    <w:p>
      <w:pPr>
        <w:pStyle w:val="ListParagraph"/>
        <w:numPr>
          <w:ilvl w:val="0"/>
          <w:numId w:val="3"/>
        </w:numPr>
        <w:spacing w:after="70" w:line="264"/>
      </w:pPr>
      <w:r>
        <w:rPr>
          <w:b/>
          <w:bCs/>
          <w:color w:val="222222"/>
          <w:sz w:val="21"/>
          <w:szCs w:val="21"/>
        </w:rPr>
        <w:t xml:space="preserve">Volume justifies it. </w:t>
      </w:r>
      <w:r>
        <w:rPr>
          <w:color w:val="222222"/>
          <w:sz w:val="21"/>
          <w:szCs w:val="21"/>
        </w:rPr>
        <w:t xml:space="preserve">Enough live models and transactions exist that human-triggered re-review is the genuine bottleneck (e.g., hundreds of models across multiple entities).</w:t>
      </w:r>
    </w:p>
    <w:p>
      <w:pPr>
        <w:pStyle w:val="ListParagraph"/>
        <w:numPr>
          <w:ilvl w:val="0"/>
          <w:numId w:val="3"/>
        </w:numPr>
        <w:spacing w:after="70" w:line="264"/>
      </w:pPr>
      <w:r>
        <w:rPr>
          <w:b/>
          <w:bCs/>
          <w:color w:val="222222"/>
          <w:sz w:val="21"/>
          <w:szCs w:val="21"/>
        </w:rPr>
        <w:t xml:space="preserve">The corpus and schema are proven. </w:t>
      </w:r>
      <w:r>
        <w:rPr>
          <w:color w:val="222222"/>
          <w:sz w:val="21"/>
          <w:szCs w:val="21"/>
        </w:rPr>
        <w:t xml:space="preserve">The Prong 1 knowledge fabric is mature, trusted, and stable — agents are only as good as the corpus they stand on.</w:t>
      </w:r>
    </w:p>
    <w:p>
      <w:pPr>
        <w:pStyle w:val="ListParagraph"/>
        <w:numPr>
          <w:ilvl w:val="0"/>
          <w:numId w:val="3"/>
        </w:numPr>
        <w:spacing w:after="70" w:line="264"/>
      </w:pPr>
      <w:r>
        <w:rPr>
          <w:b/>
          <w:bCs/>
          <w:color w:val="222222"/>
          <w:sz w:val="21"/>
          <w:szCs w:val="21"/>
        </w:rPr>
        <w:t xml:space="preserve">The human workflow is trusted. </w:t>
      </w:r>
      <w:r>
        <w:rPr>
          <w:color w:val="222222"/>
          <w:sz w:val="21"/>
          <w:szCs w:val="21"/>
        </w:rPr>
        <w:t xml:space="preserve">Officers rely on and trust the review console; the accountability model is established and publicly defensible.</w:t>
      </w:r>
    </w:p>
    <w:p>
      <w:pPr>
        <w:pStyle w:val="ListParagraph"/>
        <w:numPr>
          <w:ilvl w:val="0"/>
          <w:numId w:val="3"/>
        </w:numPr>
        <w:spacing w:after="70" w:line="264"/>
      </w:pPr>
      <w:r>
        <w:rPr>
          <w:b/>
          <w:bCs/>
          <w:color w:val="222222"/>
          <w:sz w:val="21"/>
          <w:szCs w:val="21"/>
        </w:rPr>
        <w:t xml:space="preserve">A funded, predictable token budget exists. </w:t>
      </w:r>
      <w:r>
        <w:rPr>
          <w:color w:val="222222"/>
          <w:sz w:val="21"/>
          <w:szCs w:val="21"/>
        </w:rPr>
        <w:t xml:space="preserve">There is a ring-fenced operating budget that can absorb usage-based spend without threatening core operations.</w:t>
      </w:r>
    </w:p>
    <w:p>
      <w:pPr>
        <w:pStyle w:val="ListParagraph"/>
        <w:numPr>
          <w:ilvl w:val="0"/>
          <w:numId w:val="3"/>
        </w:numPr>
        <w:spacing w:after="70" w:line="264"/>
      </w:pPr>
      <w:r>
        <w:rPr>
          <w:b/>
          <w:bCs/>
          <w:color w:val="222222"/>
          <w:sz w:val="21"/>
          <w:szCs w:val="21"/>
        </w:rPr>
        <w:t xml:space="preserve">Compliance has signed off on autonomy. </w:t>
      </w:r>
      <w:r>
        <w:rPr>
          <w:color w:val="222222"/>
          <w:sz w:val="21"/>
          <w:szCs w:val="21"/>
        </w:rPr>
        <w:t xml:space="preserve">Data-residency, source-provenance, and explainability questions have documented answers for an oversight audience.</w:t>
      </w:r>
    </w:p>
    <w:p>
      <w:pPr>
        <w:spacing w:after="60"/>
      </w:pPr>
    </w:p>
    <w:p>
      <w:pPr>
        <w:pStyle w:val="Heading2"/>
      </w:pPr>
      <w:r>
        <w:t xml:space="preserve">7.2  What carries forward (nothing is wasted)</w:t>
      </w:r>
    </w:p>
    <w:p>
      <w:pPr>
        <w:pStyle w:val="ListParagraph"/>
        <w:numPr>
          <w:ilvl w:val="0"/>
          <w:numId w:val="2"/>
        </w:numPr>
        <w:spacing w:after="70" w:line="264"/>
      </w:pPr>
      <w:r>
        <w:rPr>
          <w:color w:val="222222"/>
          <w:sz w:val="21"/>
          <w:szCs w:val="21"/>
        </w:rPr>
        <w:t xml:space="preserve">The curated legal/retention corpus and ingestion pipeline.</w:t>
      </w:r>
    </w:p>
    <w:p>
      <w:pPr>
        <w:pStyle w:val="ListParagraph"/>
        <w:numPr>
          <w:ilvl w:val="0"/>
          <w:numId w:val="2"/>
        </w:numPr>
        <w:spacing w:after="70" w:line="264"/>
      </w:pPr>
      <w:r>
        <w:rPr>
          <w:color w:val="222222"/>
          <w:sz w:val="21"/>
          <w:szCs w:val="21"/>
        </w:rPr>
        <w:t xml:space="preserve">The canonical governance-model schema and graph store.</w:t>
      </w:r>
    </w:p>
    <w:p>
      <w:pPr>
        <w:pStyle w:val="ListParagraph"/>
        <w:numPr>
          <w:ilvl w:val="0"/>
          <w:numId w:val="2"/>
        </w:numPr>
        <w:spacing w:after="70" w:line="264"/>
      </w:pPr>
      <w:r>
        <w:rPr>
          <w:color w:val="222222"/>
          <w:sz w:val="21"/>
          <w:szCs w:val="21"/>
        </w:rPr>
        <w:t xml:space="preserve">The human-review console, roles, and audit log.</w:t>
      </w:r>
    </w:p>
    <w:p>
      <w:pPr>
        <w:pStyle w:val="ListParagraph"/>
        <w:numPr>
          <w:ilvl w:val="0"/>
          <w:numId w:val="2"/>
        </w:numPr>
        <w:spacing w:after="70" w:line="264"/>
      </w:pPr>
      <w:r>
        <w:rPr>
          <w:color w:val="222222"/>
          <w:sz w:val="21"/>
          <w:szCs w:val="21"/>
        </w:rPr>
        <w:t xml:space="preserve">The per-function retrieval profiles — which become each agent's tool set.</w:t>
      </w:r>
    </w:p>
    <w:p>
      <w:pPr>
        <w:pStyle w:val="ListParagraph"/>
        <w:numPr>
          <w:ilvl w:val="0"/>
          <w:numId w:val="2"/>
        </w:numPr>
        <w:spacing w:after="70" w:line="264"/>
      </w:pPr>
      <w:r>
        <w:rPr>
          <w:color w:val="222222"/>
          <w:sz w:val="21"/>
          <w:szCs w:val="21"/>
        </w:rPr>
        <w:t xml:space="preserve">The visualization and document-rendering layer.</w:t>
      </w:r>
    </w:p>
    <w:p>
      <w:pPr>
        <w:spacing w:after="140" w:line="276"/>
        <w:jc w:val="left"/>
      </w:pPr>
      <w:r>
        <w:rPr>
          <w:b/>
          <w:bCs/>
          <w:color w:val="222222"/>
          <w:sz w:val="21"/>
          <w:szCs w:val="21"/>
        </w:rPr>
        <w:t xml:space="preserve">In other words: </w:t>
      </w:r>
      <w:r>
        <w:rPr>
          <w:color w:val="222222"/>
          <w:sz w:val="21"/>
          <w:szCs w:val="21"/>
        </w:rPr>
        <w:t xml:space="preserve">Prong 1 is approximately 60–70% of the engineering substrate of Prong 2. Building it first is not a detour — it is the first phase of the agentic program, delivered as standalone value.</w:t>
      </w:r>
    </w:p>
    <w:p>
      <w:r>
        <w:br w:type="page"/>
      </w:r>
    </w:p>
    <w:p>
      <w:pPr>
        <w:pStyle w:val="Heading1"/>
      </w:pPr>
      <w:r>
        <w:t xml:space="preserve">8.  Compliance &amp; Public-Trust Considerations</w:t>
      </w:r>
    </w:p>
    <w:p>
      <w:pPr>
        <w:spacing w:after="140" w:line="276"/>
        <w:jc w:val="left"/>
      </w:pPr>
      <w:r>
        <w:rPr>
          <w:b w:val="false"/>
          <w:bCs w:val="false"/>
          <w:i w:val="false"/>
          <w:iCs w:val="false"/>
          <w:color w:val="222222"/>
          <w:sz w:val="21"/>
          <w:szCs w:val="21"/>
        </w:rPr>
        <w:t xml:space="preserve">Because the system governs the rules for sensitive public data, its own posture must be exemplary. These principles apply to both prongs and should appear in the submission narrative:</w:t>
      </w:r>
    </w:p>
    <w:p>
      <w:pPr>
        <w:pStyle w:val="ListParagraph"/>
        <w:numPr>
          <w:ilvl w:val="0"/>
          <w:numId w:val="2"/>
        </w:numPr>
        <w:spacing w:after="70" w:line="264"/>
      </w:pPr>
      <w:r>
        <w:rPr>
          <w:b/>
          <w:bCs/>
          <w:color w:val="222222"/>
          <w:sz w:val="21"/>
          <w:szCs w:val="21"/>
        </w:rPr>
        <w:t xml:space="preserve">Data residency by default. </w:t>
      </w:r>
      <w:r>
        <w:rPr>
          <w:color w:val="222222"/>
          <w:sz w:val="21"/>
          <w:szCs w:val="21"/>
        </w:rPr>
        <w:t xml:space="preserve">Self-hostable open models and an in-boundary vector store mean citizen and legal data never leave government control. This is far easier to commit to in Prong 1.</w:t>
      </w:r>
    </w:p>
    <w:p>
      <w:pPr>
        <w:pStyle w:val="ListParagraph"/>
        <w:numPr>
          <w:ilvl w:val="0"/>
          <w:numId w:val="2"/>
        </w:numPr>
        <w:spacing w:after="70" w:line="264"/>
      </w:pPr>
      <w:r>
        <w:rPr>
          <w:b/>
          <w:bCs/>
          <w:color w:val="222222"/>
          <w:sz w:val="21"/>
          <w:szCs w:val="21"/>
        </w:rPr>
        <w:t xml:space="preserve">Provenance over scraping. </w:t>
      </w:r>
      <w:r>
        <w:rPr>
          <w:color w:val="222222"/>
          <w:sz w:val="21"/>
          <w:szCs w:val="21"/>
        </w:rPr>
        <w:t xml:space="preserve">Ingest authoritative, citable sources (official statute repositories, published GRS schedules) — not arbitrary web scrapes of uncertain legitimacy that could trigger backlash for a privacy regulator.</w:t>
      </w:r>
    </w:p>
    <w:p>
      <w:pPr>
        <w:pStyle w:val="ListParagraph"/>
        <w:numPr>
          <w:ilvl w:val="0"/>
          <w:numId w:val="2"/>
        </w:numPr>
        <w:spacing w:after="70" w:line="264"/>
      </w:pPr>
      <w:r>
        <w:rPr>
          <w:b/>
          <w:bCs/>
          <w:color w:val="222222"/>
          <w:sz w:val="21"/>
          <w:szCs w:val="21"/>
        </w:rPr>
        <w:t xml:space="preserve">Cite or it didn't happen. </w:t>
      </w:r>
      <w:r>
        <w:rPr>
          <w:color w:val="222222"/>
          <w:sz w:val="21"/>
          <w:szCs w:val="21"/>
        </w:rPr>
        <w:t xml:space="preserve">Every generated field links to its source authority. Uncited output is blocked, not published.</w:t>
      </w:r>
    </w:p>
    <w:p>
      <w:pPr>
        <w:pStyle w:val="ListParagraph"/>
        <w:numPr>
          <w:ilvl w:val="0"/>
          <w:numId w:val="2"/>
        </w:numPr>
        <w:spacing w:after="70" w:line="264"/>
      </w:pPr>
      <w:r>
        <w:rPr>
          <w:b/>
          <w:bCs/>
          <w:color w:val="222222"/>
          <w:sz w:val="21"/>
          <w:szCs w:val="21"/>
        </w:rPr>
        <w:t xml:space="preserve">Human accountability is structural. </w:t>
      </w:r>
      <w:r>
        <w:rPr>
          <w:color w:val="222222"/>
          <w:sz w:val="21"/>
          <w:szCs w:val="21"/>
        </w:rPr>
        <w:t xml:space="preserve">The AI proposes; a named officer disposes. The signature — not the model — is the governing act.</w:t>
      </w:r>
    </w:p>
    <w:p>
      <w:pPr>
        <w:pStyle w:val="ListParagraph"/>
        <w:numPr>
          <w:ilvl w:val="0"/>
          <w:numId w:val="2"/>
        </w:numPr>
        <w:spacing w:after="70" w:line="264"/>
      </w:pPr>
      <w:r>
        <w:rPr>
          <w:b/>
          <w:bCs/>
          <w:color w:val="222222"/>
          <w:sz w:val="21"/>
          <w:szCs w:val="21"/>
        </w:rPr>
        <w:t xml:space="preserve">Explainability for oversight. </w:t>
      </w:r>
      <w:r>
        <w:rPr>
          <w:color w:val="222222"/>
          <w:sz w:val="21"/>
          <w:szCs w:val="21"/>
        </w:rPr>
        <w:t xml:space="preserve">A deterministic, logged workflow can be reproduced and defended in an open-records request or legislative audit. Favor this property heavily.</w:t>
      </w:r>
    </w:p>
    <w:p>
      <w:pPr>
        <w:pStyle w:val="ListParagraph"/>
        <w:numPr>
          <w:ilvl w:val="0"/>
          <w:numId w:val="2"/>
        </w:numPr>
        <w:spacing w:after="70" w:line="264"/>
      </w:pPr>
      <w:r>
        <w:rPr>
          <w:b/>
          <w:bCs/>
          <w:color w:val="222222"/>
          <w:sz w:val="21"/>
          <w:szCs w:val="21"/>
        </w:rPr>
        <w:t xml:space="preserve">Bounded, knowable cost. </w:t>
      </w:r>
      <w:r>
        <w:rPr>
          <w:color w:val="222222"/>
          <w:sz w:val="21"/>
          <w:szCs w:val="21"/>
        </w:rPr>
        <w:t xml:space="preserve">Fixed infrastructure spend protects the program from the optics and risk of a runaway AI bill funded by public money.</w:t>
      </w:r>
    </w:p>
    <w:p>
      <w:pPr>
        <w:spacing w:after="80"/>
      </w:pPr>
    </w:p>
    <w:tbl>
      <w:tblPr>
        <w:tblW w:type="dxa" w:w="9360"/>
        <w:tblBorders>
          <w:top w:val="single" w:color="EAF0FA" w:sz="1"/>
          <w:left w:val="single" w:color="1F3864" w:sz="18"/>
          <w:bottom w:val="single" w:color="EAF0FA" w:sz="1"/>
          <w:right w:val="single" w:color="EAF0FA" w:sz="1"/>
          <w:insideH w:val="single" w:color="auto" w:sz="4"/>
          <w:insideV w:val="single" w:color="auto" w:sz="4"/>
        </w:tblBorders>
      </w:tblPr>
      <w:tblGrid>
        <w:gridCol w:w="9360"/>
      </w:tblGrid>
      <w:tr>
        <w:tc>
          <w:tcPr>
            <w:shd w:fill="EAF0FA" w:val="clear"/>
            <w:tcMar>
              <w:top w:type="dxa" w:w="140"/>
              <w:left w:type="dxa" w:w="200"/>
              <w:bottom w:type="dxa" w:w="140"/>
              <w:right w:type="dxa" w:w="200"/>
            </w:tcMar>
          </w:tcPr>
          <w:p>
            <w:pPr>
              <w:spacing w:after="80"/>
            </w:pPr>
            <w:r>
              <w:rPr>
                <w:b/>
                <w:bCs/>
                <w:color w:val="1F3864"/>
                <w:sz w:val="21"/>
                <w:szCs w:val="21"/>
              </w:rPr>
              <w:t xml:space="preserve">How to tell this story to policymakers and the public</w:t>
            </w:r>
          </w:p>
          <w:p>
            <w:pPr>
              <w:spacing w:after="0" w:line="264"/>
            </w:pPr>
            <w:r>
              <w:rPr>
                <w:color w:val="333333"/>
                <w:sz w:val="20"/>
                <w:szCs w:val="20"/>
              </w:rPr>
              <w:t xml:space="preserve">"AI does the reading; people do the deciding." The system reads thousands of pages of statute and schedule in seconds and drafts a complete, cited governance model. A records officer and a privacy officer then review, correct, and sign it. Nothing becomes policy without a human signature — and every word traces back to the law that authorizes it. That sentence is defensible in front of any legislature or newsroom, and it is true of Prong 1 from day one.</w:t>
            </w:r>
          </w:p>
        </w:tc>
      </w:tr>
    </w:tbl>
    <w:p>
      <w:r>
        <w:br w:type="page"/>
      </w:r>
    </w:p>
    <w:p>
      <w:pPr>
        <w:pStyle w:val="Heading1"/>
      </w:pPr>
      <w:r>
        <w:t xml:space="preserve">9.  Recommendation &amp; Next Steps</w:t>
      </w:r>
    </w:p>
    <w:p>
      <w:pPr>
        <w:spacing w:after="140" w:line="276"/>
        <w:jc w:val="left"/>
      </w:pPr>
      <w:r>
        <w:rPr>
          <w:b/>
          <w:bCs/>
          <w:color w:val="222222"/>
          <w:sz w:val="21"/>
          <w:szCs w:val="21"/>
        </w:rPr>
        <w:t xml:space="preserve">Recommendation: </w:t>
      </w:r>
      <w:r>
        <w:rPr>
          <w:color w:val="222222"/>
          <w:sz w:val="21"/>
          <w:szCs w:val="21"/>
        </w:rPr>
        <w:t xml:space="preserve">Commit to Prong 1 now as operational governance infrastructure, and present Prong 2 as a costed, gated future milestone in the same submission. This is both the prudent path for a cash- and compliance-constrained body </w:t>
      </w:r>
      <w:r>
        <w:rPr>
          <w:b/>
          <w:bCs/>
          <w:color w:val="222222"/>
          <w:sz w:val="21"/>
          <w:szCs w:val="21"/>
        </w:rPr>
        <w:t xml:space="preserve">and</w:t>
      </w:r>
      <w:r>
        <w:rPr>
          <w:color w:val="222222"/>
          <w:sz w:val="21"/>
          <w:szCs w:val="21"/>
        </w:rPr>
        <w:t xml:space="preserve"> the strongest possible answer to the bounty — it demonstrates the full agentic vision while showing the judgment to sequence it responsibly.</w:t>
      </w:r>
    </w:p>
    <w:p>
      <w:pPr>
        <w:pStyle w:val="Heading2"/>
      </w:pPr>
      <w:r>
        <w:t xml:space="preserve">9.1  Recommended near-term sequence</w:t>
      </w:r>
    </w:p>
    <w:p>
      <w:pPr>
        <w:pStyle w:val="ListParagraph"/>
        <w:numPr>
          <w:ilvl w:val="0"/>
          <w:numId w:val="3"/>
        </w:numPr>
        <w:spacing w:after="70" w:line="264"/>
      </w:pPr>
      <w:r>
        <w:rPr>
          <w:b/>
          <w:bCs/>
          <w:color w:val="222222"/>
          <w:sz w:val="21"/>
          <w:szCs w:val="21"/>
        </w:rPr>
        <w:t xml:space="preserve">Weeks 1–2 — Lock the schema. </w:t>
      </w:r>
      <w:r>
        <w:rPr>
          <w:color w:val="222222"/>
          <w:sz w:val="21"/>
          <w:szCs w:val="21"/>
        </w:rPr>
        <w:t xml:space="preserve">Finalize the canonical governance-model graph from the marriage-license example. This is the foundation of everything.</w:t>
      </w:r>
    </w:p>
    <w:p>
      <w:pPr>
        <w:pStyle w:val="ListParagraph"/>
        <w:numPr>
          <w:ilvl w:val="0"/>
          <w:numId w:val="3"/>
        </w:numPr>
        <w:spacing w:after="70" w:line="264"/>
      </w:pPr>
      <w:r>
        <w:rPr>
          <w:b/>
          <w:bCs/>
          <w:color w:val="222222"/>
          <w:sz w:val="21"/>
          <w:szCs w:val="21"/>
        </w:rPr>
        <w:t xml:space="preserve">Weeks 2–5 — Build the corpus &amp; retrieval. </w:t>
      </w:r>
      <w:r>
        <w:rPr>
          <w:color w:val="222222"/>
          <w:sz w:val="21"/>
          <w:szCs w:val="21"/>
        </w:rPr>
        <w:t xml:space="preserve">Ingest statutes, rules, and GRS schedules; stand up the self-hosted vector store with citations.</w:t>
      </w:r>
    </w:p>
    <w:p>
      <w:pPr>
        <w:pStyle w:val="ListParagraph"/>
        <w:numPr>
          <w:ilvl w:val="0"/>
          <w:numId w:val="3"/>
        </w:numPr>
        <w:spacing w:after="70" w:line="264"/>
      </w:pPr>
      <w:r>
        <w:rPr>
          <w:b/>
          <w:bCs/>
          <w:color w:val="222222"/>
          <w:sz w:val="21"/>
          <w:szCs w:val="21"/>
        </w:rPr>
        <w:t xml:space="preserve">Weeks 4–9 — Build the workflow &amp; console. </w:t>
      </w:r>
      <w:r>
        <w:rPr>
          <w:color w:val="222222"/>
          <w:sz w:val="21"/>
          <w:szCs w:val="21"/>
        </w:rPr>
        <w:t xml:space="preserve">The fixed per-function pipeline plus the human review/approval app.</w:t>
      </w:r>
    </w:p>
    <w:p>
      <w:pPr>
        <w:pStyle w:val="ListParagraph"/>
        <w:numPr>
          <w:ilvl w:val="0"/>
          <w:numId w:val="3"/>
        </w:numPr>
        <w:spacing w:after="70" w:line="264"/>
      </w:pPr>
      <w:r>
        <w:rPr>
          <w:b/>
          <w:bCs/>
          <w:color w:val="222222"/>
          <w:sz w:val="21"/>
          <w:szCs w:val="21"/>
        </w:rPr>
        <w:t xml:space="preserve">Weeks 8–12 — Produce the first complete model + dashboard. </w:t>
      </w:r>
      <w:r>
        <w:rPr>
          <w:color w:val="222222"/>
          <w:sz w:val="21"/>
          <w:szCs w:val="21"/>
        </w:rPr>
        <w:t xml:space="preserve">A full County Clerk marriage-license model, plus the cross-entity inconsistency view that demonstrates equal-data-rights value.</w:t>
      </w:r>
    </w:p>
    <w:p>
      <w:pPr>
        <w:pStyle w:val="ListParagraph"/>
        <w:numPr>
          <w:ilvl w:val="0"/>
          <w:numId w:val="3"/>
        </w:numPr>
        <w:spacing w:after="70" w:line="264"/>
      </w:pPr>
      <w:r>
        <w:rPr>
          <w:b/>
          <w:bCs/>
          <w:color w:val="222222"/>
          <w:sz w:val="21"/>
          <w:szCs w:val="21"/>
        </w:rPr>
        <w:t xml:space="preserve">At the demo — Show the agentic future on the same screen. </w:t>
      </w:r>
      <w:r>
        <w:rPr>
          <w:color w:val="222222"/>
          <w:sz w:val="21"/>
          <w:szCs w:val="21"/>
        </w:rPr>
        <w:t xml:space="preserve">Use the dashboard to narrate how each function becomes an autonomous agent in Phase 2, with the promotion gates from Section 7.</w:t>
      </w:r>
    </w:p>
    <w:p>
      <w:pPr>
        <w:spacing w:after="80"/>
      </w:pPr>
    </w:p>
    <w:tbl>
      <w:tblPr>
        <w:tblW w:type="dxa" w:w="9360"/>
        <w:tblBorders>
          <w:top w:val="single" w:color="E3F2EC" w:sz="1"/>
          <w:left w:val="single" w:color="2E7D5B" w:sz="18"/>
          <w:bottom w:val="single" w:color="E3F2EC" w:sz="1"/>
          <w:right w:val="single" w:color="E3F2EC" w:sz="1"/>
          <w:insideH w:val="single" w:color="auto" w:sz="4"/>
          <w:insideV w:val="single" w:color="auto" w:sz="4"/>
        </w:tblBorders>
      </w:tblPr>
      <w:tblGrid>
        <w:gridCol w:w="9360"/>
      </w:tblGrid>
      <w:tr>
        <w:tc>
          <w:tcPr>
            <w:shd w:fill="E3F2EC" w:val="clear"/>
            <w:tcMar>
              <w:top w:type="dxa" w:w="140"/>
              <w:left w:type="dxa" w:w="200"/>
              <w:bottom w:type="dxa" w:w="140"/>
              <w:right w:type="dxa" w:w="200"/>
            </w:tcMar>
          </w:tcPr>
          <w:p>
            <w:pPr>
              <w:spacing w:after="80"/>
            </w:pPr>
            <w:r>
              <w:rPr>
                <w:b/>
                <w:bCs/>
                <w:color w:val="2E7D5B"/>
                <w:sz w:val="21"/>
                <w:szCs w:val="21"/>
              </w:rPr>
              <w:t xml:space="preserve">One-line summary for the cover email</w:t>
            </w:r>
          </w:p>
          <w:p>
            <w:pPr>
              <w:spacing w:after="0" w:line="264"/>
            </w:pPr>
            <w:r>
              <w:rPr>
                <w:color w:val="333333"/>
                <w:sz w:val="20"/>
                <w:szCs w:val="20"/>
              </w:rPr>
              <w:t xml:space="preserve">We can give the sponsors a working, defensible, self-hosted governance-model system in about ten weeks for under $185K, with bounded annual costs — and a clear, costed roadmap to full agentic orchestration once volume, trust, and budget justify it. That sequencing is the honest answer to a problem owned by a public body that must answer to both auditors and the public.</w:t>
            </w:r>
          </w:p>
        </w:tc>
      </w:tr>
    </w:tbl>
    <w:p>
      <w:pPr>
        <w:spacing w:after="100"/>
      </w:pPr>
    </w:p>
    <w:p>
      <w:pPr>
        <w:spacing w:after="140" w:line="276"/>
        <w:jc w:val="left"/>
      </w:pPr>
      <w:r>
        <w:rPr>
          <w:i/>
          <w:iCs/>
          <w:color w:val="595959"/>
          <w:sz w:val="18"/>
          <w:szCs w:val="18"/>
        </w:rPr>
        <w:t xml:space="preserve">Prepared as an implementation architecture and total-cost-of-ownership analysis. All figures are planning-grade estimates intended for budgeting and sequencing decisions; they should be refined against the sponsors' actual procurement vehicles, existing infrastructure, and chosen hosting model.</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space="4"/>
      </w:pBdr>
      <w:jc w:val="center"/>
    </w:pPr>
    <w:r>
      <w:rPr>
        <w:color w:val="595959"/>
        <w:sz w:val="16"/>
        <w:szCs w:val="16"/>
      </w:rPr>
      <w:t xml:space="preserve">Confidential planning document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jc w:val="right"/>
    </w:pPr>
    <w:r>
      <w:rPr>
        <w:color w:val="595959"/>
        <w:sz w:val="16"/>
        <w:szCs w:val="16"/>
      </w:rPr>
      <w:t xml:space="preserve">Data Governance Model Orchestration  ·  Architecture &amp; Cost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6"/>
      </w:pBdr>
      <w:spacing w:after="18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90" w:before="160"/>
      <w:outlineLvl w:val="2"/>
    </w:pPr>
    <w:rPr>
      <w:rFonts w:ascii="Calibri" w:cs="Calibri" w:eastAsia="Calibri" w:hAnsi="Calibri"/>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Data Governance Model Orchestration — Two-Pronged Architecture &amp; Cost Analysis</dc:title>
  <dc:creator>Strategic Architecture Brief</dc:creator>
  <cp:lastModifiedBy>Un-named</cp:lastModifiedBy>
  <cp:revision>1</cp:revision>
  <dcterms:created xsi:type="dcterms:W3CDTF">2026-06-18T06:46:35.001Z</dcterms:created>
  <dcterms:modified xsi:type="dcterms:W3CDTF">2026-06-18T06:46:35.002Z</dcterms:modified>
</cp:coreProperties>
</file>

<file path=docProps/custom.xml><?xml version="1.0" encoding="utf-8"?>
<Properties xmlns="http://schemas.openxmlformats.org/officeDocument/2006/custom-properties" xmlns:vt="http://schemas.openxmlformats.org/officeDocument/2006/docPropsVTypes"/>
</file>