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0f6e2b9f6546e264cdc75c586c57518a4decd0"/>
    <w:p>
      <w:pPr>
        <w:pStyle w:val="Heading1"/>
      </w:pPr>
      <w:r>
        <w:t xml:space="preserve">Title Page (Unblinded — For Editorial Office Use Only)</w:t>
      </w:r>
    </w:p>
    <w:bookmarkStart w:id="9" w:name="manuscript-title"/>
    <w:p>
      <w:pPr>
        <w:pStyle w:val="Heading2"/>
      </w:pPr>
      <w:r>
        <w:t xml:space="preserve">Manuscript Title</w:t>
      </w:r>
    </w:p>
    <w:p>
      <w:pPr>
        <w:pStyle w:val="FirstParagraph"/>
      </w:pPr>
      <w:r>
        <w:t xml:space="preserve">Downside Risk Mitigation in Cryptocurrency Markets: A Dual-Stream Gated Hybrid LSTM Framework under Market Frictions</w:t>
      </w:r>
    </w:p>
    <w:bookmarkEnd w:id="9"/>
    <w:bookmarkStart w:id="10" w:name="author-information"/>
    <w:p>
      <w:pPr>
        <w:pStyle w:val="Heading2"/>
      </w:pPr>
      <w:r>
        <w:t xml:space="preserve">Author Information</w:t>
      </w:r>
    </w:p>
    <w:p>
      <w:pPr>
        <w:pStyle w:val="FirstParagraph"/>
      </w:pPr>
      <w:r>
        <w:t xml:space="preserve">[FILL IN: Full Name] — [FILL IN: Institutional Affiliation], [FILL IN: City, Country]. ORCID: [FILL IN].</w:t>
      </w:r>
    </w:p>
    <w:p>
      <w:pPr>
        <w:pStyle w:val="BodyText"/>
      </w:pPr>
      <w:r>
        <w:t xml:space="preserve">[Add additional author blocks as needed, in contribution order.]</w:t>
      </w:r>
    </w:p>
    <w:bookmarkEnd w:id="10"/>
    <w:bookmarkStart w:id="11" w:name="corresponding-author"/>
    <w:p>
      <w:pPr>
        <w:pStyle w:val="Heading2"/>
      </w:pPr>
      <w:r>
        <w:t xml:space="preserve">Corresponding Author</w:t>
      </w:r>
    </w:p>
    <w:p>
      <w:pPr>
        <w:pStyle w:val="FirstParagraph"/>
      </w:pPr>
      <w:r>
        <w:t xml:space="preserve">Name: [FILL IN]</w:t>
      </w:r>
      <w:r>
        <w:br/>
      </w:r>
      <w:r>
        <w:t xml:space="preserve">Email: [FILL IN]</w:t>
      </w:r>
      <w:r>
        <w:br/>
      </w:r>
      <w:r>
        <w:t xml:space="preserve">Institutional Address: [FILL IN]</w:t>
      </w:r>
      <w:r>
        <w:br/>
      </w:r>
      <w:r>
        <w:t xml:space="preserve">Phone: [FILL IN, optional]</w:t>
      </w:r>
    </w:p>
    <w:bookmarkEnd w:id="11"/>
    <w:bookmarkStart w:id="12" w:name="acknowledgments"/>
    <w:p>
      <w:pPr>
        <w:pStyle w:val="Heading2"/>
      </w:pPr>
      <w:r>
        <w:t xml:space="preserve">Acknowledgments</w:t>
      </w:r>
    </w:p>
    <w:p>
      <w:pPr>
        <w:pStyle w:val="FirstParagraph"/>
      </w:pPr>
      <w:r>
        <w:t xml:space="preserve">[FILL IN, or state</w:t>
      </w:r>
      <w:r>
        <w:t xml:space="preserve"> </w:t>
      </w:r>
      <w:r>
        <w:t xml:space="preserve">“The authors have no acknowledgments to declare.”</w:t>
      </w:r>
      <w:r>
        <w:t xml:space="preserve">]</w:t>
      </w:r>
    </w:p>
    <w:bookmarkEnd w:id="12"/>
    <w:bookmarkStart w:id="13" w:name="jel-classification"/>
    <w:p>
      <w:pPr>
        <w:pStyle w:val="Heading2"/>
      </w:pPr>
      <w:r>
        <w:t xml:space="preserve">JEL Classification</w:t>
      </w:r>
    </w:p>
    <w:p>
      <w:pPr>
        <w:pStyle w:val="FirstParagraph"/>
      </w:pPr>
      <w:r>
        <w:t xml:space="preserve">C45; C58; G11; G14.</w:t>
      </w:r>
    </w:p>
    <w:bookmarkEnd w:id="13"/>
    <w:bookmarkStart w:id="14" w:name="author-contributions-credit-taxonomy"/>
    <w:p>
      <w:pPr>
        <w:pStyle w:val="Heading2"/>
      </w:pPr>
      <w:r>
        <w:t xml:space="preserve">Author Contributions (CRediT Taxonomy)</w:t>
      </w:r>
    </w:p>
    <w:p>
      <w:pPr>
        <w:pStyle w:val="FirstParagraph"/>
      </w:pPr>
      <w:r>
        <w:t xml:space="preserve">[FILL IN per author: Conceptualization, Methodology, Software, Formal Analysis, Data Curation, Writing – Original Draft, Writing – Review &amp; Editing, Supervision.]</w:t>
      </w:r>
    </w:p>
    <w:bookmarkEnd w:id="14"/>
    <w:bookmarkStart w:id="15" w:name="Xec67232d04363d5ffa2dd86ca1d67f365f61625"/>
    <w:p>
      <w:pPr>
        <w:pStyle w:val="Heading2"/>
      </w:pPr>
      <w:r>
        <w:t xml:space="preserve">Conflict of Interest, Funding, and Data Availability</w:t>
      </w:r>
    </w:p>
    <w:p>
      <w:pPr>
        <w:pStyle w:val="FirstParagraph"/>
      </w:pPr>
      <w:r>
        <w:t xml:space="preserve">See Section 5.5 of the main manuscript (</w:t>
      </w:r>
      <w:r>
        <w:rPr>
          <w:rStyle w:val="VerbatimChar"/>
        </w:rPr>
        <w:t xml:space="preserve">main_paper.md</w:t>
      </w:r>
      <w:r>
        <w:t xml:space="preserve">) — reproduced here for editorial convenience:</w:t>
      </w:r>
    </w:p>
    <w:p>
      <w:pPr>
        <w:pStyle w:val="Compact"/>
        <w:numPr>
          <w:ilvl w:val="0"/>
          <w:numId w:val="1001"/>
        </w:numPr>
      </w:pPr>
      <w:r>
        <w:rPr>
          <w:b/>
          <w:bCs/>
        </w:rPr>
        <w:t xml:space="preserve">Data Availability Statement:</w:t>
      </w:r>
      <w:r>
        <w:t xml:space="preserve"> </w:t>
      </w:r>
      <w:r>
        <w:t xml:space="preserve">To guarantee complete scientific reproducibility and empirical transparency, all underlying datasets (the 4-hour OHLCV Ethereum time series and the complete historical records of the Crypto Fear &amp; Greed Index), trained model weights (</w:t>
      </w:r>
      <w:r>
        <w:rPr>
          <w:rStyle w:val="VerbatimChar"/>
        </w:rPr>
        <w:t xml:space="preserve">.keras</w:t>
      </w:r>
      <w:r>
        <w:t xml:space="preserve">), preprocessed tensor sequence arrays (</w:t>
      </w:r>
      <w:r>
        <w:rPr>
          <w:rStyle w:val="VerbatimChar"/>
        </w:rPr>
        <w:t xml:space="preserve">.npz</w:t>
      </w:r>
      <w:r>
        <w:t xml:space="preserve">), and execution scripts are made publicly available in the dedicated open-access GitHub repository associated with this project: https://github.com/devianwahyu/ETH-Sentinel-Hybrid-LSTM-for-Ethereum-Price-Prediction.</w:t>
      </w:r>
    </w:p>
    <w:p>
      <w:pPr>
        <w:pStyle w:val="Compact"/>
        <w:numPr>
          <w:ilvl w:val="0"/>
          <w:numId w:val="1001"/>
        </w:numPr>
      </w:pPr>
      <w:r>
        <w:rPr>
          <w:b/>
          <w:bCs/>
        </w:rPr>
        <w:t xml:space="preserve">Conflict of Interest:</w:t>
      </w:r>
      <w:r>
        <w:t xml:space="preserve"> </w:t>
      </w:r>
      <w:r>
        <w:t xml:space="preserve">The authors certify that there are no financial, professional, or personal affiliations, interests, or relationships with any commercial entity, cryptocurrency exchange, or third-party analytical platform that could have appeared to influence or bias the work reported in this manuscript.</w:t>
      </w:r>
    </w:p>
    <w:p>
      <w:pPr>
        <w:pStyle w:val="Compact"/>
        <w:numPr>
          <w:ilvl w:val="0"/>
          <w:numId w:val="1001"/>
        </w:numPr>
      </w:pPr>
      <w:r>
        <w:rPr>
          <w:b/>
          <w:bCs/>
        </w:rPr>
        <w:t xml:space="preserve">Funding Statement:</w:t>
      </w:r>
      <w:r>
        <w:t xml:space="preserve"> </w:t>
      </w:r>
      <w:r>
        <w:t xml:space="preserve">This research received no specific grant, financial aid, or external sponsorship from any public, private, commercial, or not-for-profit funding agency. All computational resources and development efforts were independently self-funded by the authors.</w:t>
      </w:r>
    </w:p>
    <w:p>
      <w:pPr>
        <w:pStyle w:val="Compact"/>
        <w:numPr>
          <w:ilvl w:val="0"/>
          <w:numId w:val="1001"/>
        </w:numPr>
      </w:pPr>
      <w:r>
        <w:rPr>
          <w:b/>
          <w:bCs/>
        </w:rPr>
        <w:t xml:space="preserve">Double-Blind Peer Review Statement:</w:t>
      </w:r>
      <w:r>
        <w:t xml:space="preserve"> </w:t>
      </w:r>
      <w:r>
        <w:t xml:space="preserve">In accordance with the blind review policy of the</w:t>
      </w:r>
      <w:r>
        <w:t xml:space="preserve"> </w:t>
      </w:r>
      <w:r>
        <w:rPr>
          <w:i/>
          <w:iCs/>
        </w:rPr>
        <w:t xml:space="preserve">Journal of Accounting and Investment</w:t>
      </w:r>
      <w:r>
        <w:t xml:space="preserve">, all identifying author metadata, institutional affiliations, direct email contacts, and acknowledgments have been sanitized and redacted from the title page and manuscript body to uphold strict impartiality during the peer review process.</w:t>
      </w:r>
    </w:p>
    <w:bookmarkEnd w:id="15"/>
    <w:bookmarkEnd w:id="16"/>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2026-09-19T03:54:39Z</dcterms:created>
  <dcterms:modified xsi:type="dcterms:W3CDTF">2026-09-19T03:54:39Z</dcterms:modified>
</cp:coreProperties>
</file>

<file path=docProps/custom.xml><?xml version="1.0" encoding="utf-8"?>
<Properties xmlns="http://schemas.openxmlformats.org/officeDocument/2006/custom-properties" xmlns:vt="http://schemas.openxmlformats.org/officeDocument/2006/docPropsVTypes"/>
</file>