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d840a4e8803be872b5bbe51d3cde40636c779e1"/>
    <w:p>
      <w:pPr>
        <w:pStyle w:val="Heading1"/>
      </w:pPr>
      <w:r>
        <w:t xml:space="preserve">Internal Peer-Review Audit Trail (Rounds 1–4)</w:t>
      </w:r>
    </w:p>
    <w:p>
      <w:pPr>
        <w:pStyle w:val="FirstParagraph"/>
      </w:pPr>
      <w:r>
        <w:t xml:space="preserve">This document summarizes the chronological resolution of methodological issues raised during four internal review rounds, provided for editorial and reviewer transparency.</w:t>
      </w:r>
    </w:p>
    <w:bookmarkStart w:id="9" w:name="round-1-initial-methodological-audit"/>
    <w:p>
      <w:pPr>
        <w:pStyle w:val="Heading2"/>
      </w:pPr>
      <w:r>
        <w:t xml:space="preserve">Round 1 — Initial Methodological Audit</w:t>
      </w:r>
    </w:p>
    <w:p>
      <w:pPr>
        <w:pStyle w:val="FirstParagraph"/>
      </w:pPr>
      <w:r>
        <w:t xml:space="preserve">Issues identified: test-set snooping in hysteresis threshold (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 selection; absence of formal statistical significance testing; lack of a symmetric ablation baseline for the Technical LSTM; an arithmetic inconsistency in the reported bar-count reconciliation (4,370 vs. 4,357); inconsistent EMA half-life derivation; an unverifiable citation.</w:t>
      </w:r>
    </w:p>
    <w:bookmarkEnd w:id="9"/>
    <w:bookmarkStart w:id="10" w:name="round-2-first-remediation"/>
    <w:p>
      <w:pPr>
        <w:pStyle w:val="Heading2"/>
      </w:pPr>
      <w:r>
        <w:t xml:space="preserve">Round 2 — First Remediation</w:t>
      </w:r>
    </w:p>
    <w:p>
      <w:pPr>
        <w:pStyle w:val="FirstParagraph"/>
      </w:pPr>
      <w:r>
        <w:t xml:space="preserve">Resolutions: validation-only calibration of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introduced; symmetric ablation added for the Technical LSTM baseline; stationary block bootstrap significance testing introduced; bar-count reconciled (13 warm-up bars removed, 4,357 clean bars); EMA half-life corrected to ≈2.06 bars (8.24 hours).</w:t>
      </w:r>
      <w:r>
        <w:br/>
      </w:r>
      <w:r>
        <w:t xml:space="preserve">Issues remaining: selection logic for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not yet formalized against an explicit criterion; MDD reversal at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(Hybrid worse than Technical) not yet discussed; residual overclaiming despite non-significant bootstrap p-value; unit mismatch in the treasury cost case study; citation year/DOI inconsistency.</w:t>
      </w:r>
    </w:p>
    <w:bookmarkEnd w:id="10"/>
    <w:bookmarkStart w:id="11" w:name="round-3-second-remediation"/>
    <w:p>
      <w:pPr>
        <w:pStyle w:val="Heading2"/>
      </w:pPr>
      <w:r>
        <w:t xml:space="preserve">Round 3 — Second Remediation</w:t>
      </w:r>
    </w:p>
    <w:p>
      <w:pPr>
        <w:pStyle w:val="FirstParagraph"/>
      </w:pPr>
      <w:r>
        <w:t xml:space="preserve">Resolutions: formal ex-ante constrained optimization objective for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selection introduced and verified against the validation grid; Hypothesis 1 reformulated as conditional on execution regime, with the MDD reversal openly discussed; statistical language calibrated to explicitly report non-significance (</w:t>
      </w:r>
      <m:oMath>
        <m:r>
          <m:t>p</m:t>
        </m:r>
        <m:r>
          <m:rPr>
            <m:sty m:val="p"/>
          </m:rPr>
          <m:t>=</m:t>
        </m:r>
        <m:r>
          <m:t>0.9170</m:t>
        </m:r>
      </m:oMath>
      <w:r>
        <w:t xml:space="preserve">, 95% CI crossing zero); treasury cost case study corrected with explicit period vs. annualized distinction and an AMH regime-shift disclaimer; Hendrickx et al. citation corrected and independently verified (Machine Learning, 113(5), 3073–3110, 2024, Springer Nature).</w:t>
      </w:r>
      <w:r>
        <w:br/>
      </w:r>
      <w:r>
        <w:t xml:space="preserve">Issues remaining (found via full cross-document audit): a narrative/table contradiction regarding the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0.05</m:t>
        </m:r>
      </m:oMath>
      <w:r>
        <w:t xml:space="preserve"> </w:t>
      </w:r>
      <w:r>
        <w:t xml:space="preserve">vs. </w:t>
      </w:r>
      <m:oMath>
        <m:r>
          <m:rPr>
            <m:sty m:val="p"/>
          </m:rPr>
          <m:t>≥</m:t>
        </m:r>
        <m:r>
          <m:t>0.06</m:t>
        </m:r>
      </m:oMath>
      <w:r>
        <w:t xml:space="preserve"> </w:t>
      </w:r>
      <w:r>
        <w:t xml:space="preserve">zero-trade boundary; selective presentation of only three grid points in Table 3 Panel B despite full-grid data existing in the Appendix.</w:t>
      </w:r>
    </w:p>
    <w:bookmarkEnd w:id="11"/>
    <w:bookmarkStart w:id="12" w:name="round-4-final-remediation"/>
    <w:p>
      <w:pPr>
        <w:pStyle w:val="Heading2"/>
      </w:pPr>
      <w:r>
        <w:t xml:space="preserve">Round 4 — Final Remediation</w:t>
      </w:r>
    </w:p>
    <w:p>
      <w:pPr>
        <w:pStyle w:val="FirstParagraph"/>
      </w:pPr>
      <w:r>
        <w:t xml:space="preserve">Resolutions: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0.05</m:t>
        </m:r>
      </m:oMath>
      <w:r>
        <w:t xml:space="preserve">/</w:t>
      </w:r>
      <m:oMath>
        <m:r>
          <m:rPr>
            <m:sty m:val="p"/>
          </m:rPr>
          <m:t>≥</m:t>
        </m:r>
        <m:r>
          <m:t>0.06</m:t>
        </m:r>
      </m:oMath>
      <w:r>
        <w:t xml:space="preserve"> </w:t>
      </w:r>
      <w:r>
        <w:t xml:space="preserve">narrative-table contradiction corrected and cross-partition probability bounds clarified; Table 3 Panel B expanded to disclose the full out-of-sample grid (</w:t>
      </w:r>
      <m:oMath>
        <m:r>
          <m:t>δ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0.00</m:t>
        </m:r>
        <m:r>
          <m:rPr>
            <m:sty m:val="p"/>
          </m:rPr>
          <m:t>,</m:t>
        </m:r>
        <m:r>
          <m:t>0.05</m:t>
        </m:r>
        <m:r>
          <m:rPr>
            <m:sty m:val="p"/>
          </m:rPr>
          <m:t>]</m:t>
        </m:r>
      </m:oMath>
      <w:r>
        <w:t xml:space="preserve">); explicit statistical non-significance qualification added to the closing paragraph of the Hypothesis 2 discussion.</w:t>
      </w:r>
    </w:p>
    <w:bookmarkEnd w:id="12"/>
    <w:bookmarkStart w:id="13" w:name="final-disposition"/>
    <w:p>
      <w:pPr>
        <w:pStyle w:val="Heading2"/>
      </w:pPr>
      <w:r>
        <w:t xml:space="preserve">Final Disposition</w:t>
      </w:r>
    </w:p>
    <w:p>
      <w:pPr>
        <w:pStyle w:val="FirstParagraph"/>
      </w:pPr>
      <w:r>
        <w:t xml:space="preserve">ACCEPT, subject to a single typesetting-stage correction (LaTeX/Markdown table row parity for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in Table 3 Panel A), executed as part of this production run.</w:t>
      </w:r>
    </w:p>
    <w:bookmarkEnd w:id="13"/>
    <w:bookmarkEnd w:id="14"/>
    <w:sectPr>
      <w:footnotePr>
        <w:numRestart w:val="eachSect"/>
      </w:footnotePr>
      <w:pgSz w:h="16838" w:w="11906"/>
      <w:pgMar w:bottom="1417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</w:pPr>
    <w:rPr>
      <w:rFonts w:ascii="Times New Roman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Anonymous</dc:creator>
  <cp:keywords/>
  <dcterms:created xsi:type="dcterms:W3CDTF">2026-09-19T03:48:23Z</dcterms:created>
  <dcterms:modified xsi:type="dcterms:W3CDTF">2026-09-19T03:48:23Z</dcterms:modified>
  <cp:lastModifiedBy>Anonymous</cp:lastModifiedBy>
  <dc:description/>
  <dc:subject/>
  <cp:category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